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D9" w:rsidRDefault="008F7457">
      <w:pPr>
        <w:rPr>
          <w:b/>
          <w:bCs/>
        </w:rPr>
      </w:pPr>
      <w:bookmarkStart w:id="0" w:name="_GoBack"/>
      <w:bookmarkEnd w:id="0"/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  <w:t>РЕЗЕНЦИЈА</w:t>
      </w:r>
    </w:p>
    <w:p w:rsidR="008E6AD9" w:rsidRDefault="008F7457">
      <w:pPr>
        <w:rPr>
          <w:b/>
          <w:bCs/>
        </w:rPr>
      </w:pP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  <w:t xml:space="preserve">     проф. др Тијана Ашић</w:t>
      </w:r>
    </w:p>
    <w:p w:rsidR="008E6AD9" w:rsidRDefault="008F7457">
      <w:pPr>
        <w:rPr>
          <w:b/>
          <w:bCs/>
        </w:rPr>
      </w:pP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</w:r>
      <w:r>
        <w:rPr>
          <w:b/>
          <w:bCs/>
          <w:lang/>
        </w:rPr>
        <w:tab/>
        <w:t>април 2017.</w:t>
      </w:r>
    </w:p>
    <w:p w:rsidR="008E6AD9" w:rsidRDefault="008E6AD9">
      <w:pPr>
        <w:rPr>
          <w:lang/>
        </w:rPr>
      </w:pP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 xml:space="preserve">Књига проф. др Бобана Арсенијевића „Корак у формалну семантику“  намењена је студентима основних и последипломских студија који у  наставном програму имају  предмете из области лексичке и </w:t>
      </w:r>
      <w:r>
        <w:rPr>
          <w:lang/>
        </w:rPr>
        <w:t>пропозиционалне семантике.  Ради се о невеликом али изузетно информативном и сјајно написаном уџбенику који превазилази своју основну  функцију: сигурна да сам да ће ова књига од велике користи бити свим лингвистима у Србији и Региону који се интересују за</w:t>
      </w:r>
      <w:r>
        <w:rPr>
          <w:lang/>
        </w:rPr>
        <w:t xml:space="preserve"> савремени приступ проблемима значења речи и реченица и који би да прошире знања из семантике.</w:t>
      </w:r>
    </w:p>
    <w:p w:rsidR="008E6AD9" w:rsidRDefault="008F7457">
      <w:r>
        <w:rPr>
          <w:lang/>
        </w:rPr>
        <w:t>Напоменула бих да ми је задовољство да будем рецензент једног овако надахнутог дела, који ће засигурно бити запамћено као зачетак нове школе у србистици, у којој</w:t>
      </w:r>
      <w:r>
        <w:rPr>
          <w:lang/>
        </w:rPr>
        <w:t xml:space="preserve"> су до данас, све формалне и генеративистиче теорије наилазиле на велики отпор.</w:t>
      </w:r>
    </w:p>
    <w:p w:rsidR="008E6AD9" w:rsidRDefault="008F7457">
      <w:r>
        <w:rPr>
          <w:lang/>
        </w:rPr>
        <w:t xml:space="preserve"> </w:t>
      </w:r>
    </w:p>
    <w:p w:rsidR="008E6AD9" w:rsidRDefault="008F7457">
      <w:r>
        <w:rPr>
          <w:lang/>
        </w:rPr>
        <w:t>Сам аутор истиче да је „Корак у формалну семантику“ нека врста антологије основник идеја и проблема овог модел-теоријског правца у лингвистици. А Бобан Арсенијевић те основне</w:t>
      </w:r>
      <w:r>
        <w:rPr>
          <w:lang/>
        </w:rPr>
        <w:t xml:space="preserve"> концепте уводи на врло вешт начин, тако да успева да за материју заинтересује и читаоца који би имао отпор према формулама, скуповима и осталим елементима математике и логике, од којих обично беже студенти језика и књижевности.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>Тако он, на почетку, у уво</w:t>
      </w:r>
      <w:r>
        <w:rPr>
          <w:lang/>
        </w:rPr>
        <w:t>дном поглављу, поставља   суштинско питање: „Зашто је тешко бавити се проблемом значења?“ Након дефинисања основа саме дисциплине, уводи се и њено главно средство у моделовању значења: предикатски калкулус. Разматрају се особине овог алгебарског система, п</w:t>
      </w:r>
      <w:r>
        <w:rPr>
          <w:lang/>
        </w:rPr>
        <w:t>оготову интерпретативни ефекти његове синтаксе, попут опсега квантификатора и семантичке вредности варијабли, и уводе се домени интерпретације, односно претпоставка о контекстуалној индексираности оператора, квантификатора и варијабли. Поглавље објашњава и</w:t>
      </w:r>
      <w:r>
        <w:rPr>
          <w:lang/>
        </w:rPr>
        <w:t xml:space="preserve"> природу предикатског рачуна у формалној семантици, односно његов статус средства помоћу којег се формулишу теорије, са намером да се предупреди честа грешка почетника у формалној семантици када предикатски калкулус третирају као теорију.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>У следећем погла</w:t>
      </w:r>
      <w:r>
        <w:rPr>
          <w:lang/>
        </w:rPr>
        <w:t xml:space="preserve">вљу под насловом </w:t>
      </w:r>
      <w:r>
        <w:rPr>
          <w:i/>
          <w:lang/>
        </w:rPr>
        <w:t>Семантика глаголских израза</w:t>
      </w:r>
      <w:r>
        <w:rPr>
          <w:lang/>
        </w:rPr>
        <w:t xml:space="preserve"> обухваћен је већи број области семантике које се тичу значења глагола са његовим зависним елементима. Након увођења појма аргументске структуре, и представљања проблема који су семантици у овој области мучили де</w:t>
      </w:r>
      <w:r>
        <w:rPr>
          <w:lang/>
        </w:rPr>
        <w:t>ценијама – представљена је Дејвидсонова семантика глагола која уводи варијаблу догађаја и глаголе представља првенствено као описе (врста) догађаја, односно предикате над догађајима – остављајући увођење аргумената посебним предикатима тематских улога. Ост</w:t>
      </w:r>
      <w:r>
        <w:rPr>
          <w:lang/>
        </w:rPr>
        <w:t>атак поглавља бави се бројним димензијама временске структуре глаголског значења. Полази од лексичког аспекта, који користи да читаоца уведе у опозицију између приступа семантици и логици заснованих на теорији скупова и оних изведених из мереолошких односа</w:t>
      </w:r>
      <w:r>
        <w:rPr>
          <w:lang/>
        </w:rPr>
        <w:t>.  Након што мереолошком семантиком успостави основне моделе лексичког аспекта, прелази на граматички аспект, и на глаголска времена, којима се бави средствима Рајхенбахове теорије. Користећи глаголски систем српског језика за представљање формалносемантич</w:t>
      </w:r>
      <w:r>
        <w:rPr>
          <w:lang/>
        </w:rPr>
        <w:t>ких модела, ово поглавље уједно даје и основни, али широко обухватни, модел семантике српског глаголског система. Истакла бих да ће део овог поглавља који говори о аспекту и глаголским систему бити веома значајан свим србистима који се баве овом темом (вео</w:t>
      </w:r>
      <w:r>
        <w:rPr>
          <w:lang/>
        </w:rPr>
        <w:t>ма популарном, последњих година) и да ће им помоћи да боље схвате суштину проблема комплексног и вишеслојног изражавања аспекта у словенским језицима.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 xml:space="preserve">Треће поглавље носи наслов </w:t>
      </w:r>
      <w:r>
        <w:rPr>
          <w:i/>
          <w:lang/>
        </w:rPr>
        <w:t>Семантика именичких израза и квантификације</w:t>
      </w:r>
      <w:r>
        <w:rPr>
          <w:lang/>
        </w:rPr>
        <w:t xml:space="preserve">, и представља природан прелаз на </w:t>
      </w:r>
      <w:r>
        <w:rPr>
          <w:lang/>
        </w:rPr>
        <w:t>другу основну врсту речи и изабране релевантне аспекте њене семантике. Најпре се разматра семантика особина квантитета, односно природа масеног, колективног и бројивог семантизма међу именицама и уопште, из кога се онда изводи значење граматичког броја, од</w:t>
      </w:r>
      <w:r>
        <w:rPr>
          <w:lang/>
        </w:rPr>
        <w:t>носно једнине и множине. У овој области даје се и илустрација употребе мереолошке семантике у новом домену, али и високог степена напоредности особина квантитета у глаголском и именичком домену. Као додатак разматрањима у овом пољу, дата је скица типолошки</w:t>
      </w:r>
      <w:r>
        <w:rPr>
          <w:lang/>
        </w:rPr>
        <w:t xml:space="preserve"> другачијег система за изражавање особина квантитета: класификаторског система присутног пре свега у језицима источне и југоисточне Азије, али и у многим другим језичким породицама широм света. Нагласила бих да у овом делу, као и на другим местима, Бобан А</w:t>
      </w:r>
      <w:r>
        <w:rPr>
          <w:lang/>
        </w:rPr>
        <w:t>рсенијевић показује да ова књига, иако је првенствено намењена србистима, заправо представља уџбеник опште лингвистике и да ће значајно место имати у библиотеци доктораната страних филологија. Друга од три тематске области обрађене у поглављу су особине ре</w:t>
      </w:r>
      <w:r>
        <w:rPr>
          <w:lang/>
        </w:rPr>
        <w:t>ференције одређеност и специфичност. Разматрају се различити приступи овим појавама, и када је у питању њихово емпиријско препознавање, и када је реч о теоријским моделима, и проблематизује питање селекције аргумената. Трећа и последња скупина појава у окв</w:t>
      </w:r>
      <w:r>
        <w:rPr>
          <w:lang/>
        </w:rPr>
        <w:t>иру семантике именичког израза која је обрађена је логично проширење претходних двеју: значење језичке квантификације  и језичких квантификаторских израза. Ова област је искоришћена да се уведе још један логичко-семантички формализам: логика типова и да се</w:t>
      </w:r>
      <w:r>
        <w:rPr>
          <w:lang/>
        </w:rPr>
        <w:t xml:space="preserve"> помоћу ње светло баци на појаву типског померања, односно подизања и спуштања типова.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>Наредно поглавље се бави семантиком релативних клауза. Његов циљ је да се након двају основних лексички дефинисаних домена који сежу до нивоа синтагме покаже како форма</w:t>
      </w:r>
      <w:r>
        <w:rPr>
          <w:lang/>
        </w:rPr>
        <w:t>лна семантика третира клаузу, уједно манифестујући чињеницу да клауза, која у основном случају носи семантички садржај истиносне вредности, није плафон семантичке композиције, већ да може учествовати у даљем семантичком комбиновању. Додатни циљ овог поглав</w:t>
      </w:r>
      <w:r>
        <w:rPr>
          <w:lang/>
        </w:rPr>
        <w:t>ља је да уведе ламбда-калкулус као још једно важно средство формалног моделовања значења.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 xml:space="preserve">Поглавље </w:t>
      </w:r>
      <w:r>
        <w:rPr>
          <w:i/>
          <w:lang/>
        </w:rPr>
        <w:t>Поларно осетљиви изрази и изрази слободног избора</w:t>
      </w:r>
      <w:r>
        <w:rPr>
          <w:lang/>
        </w:rPr>
        <w:t xml:space="preserve"> је пето по реду, и бави се изразима који су осетљиви на присуство, односно одсуство негације у семантичком</w:t>
      </w:r>
      <w:r>
        <w:rPr>
          <w:lang/>
        </w:rPr>
        <w:t xml:space="preserve"> контексту, и међу којима се многи често употребљавају и да означе неважност избора конкретног референта одговарајућег израза за истиносну вредност реченице чији је тај израз конституент. Ово поглавље је послужило за разматрање семантике афирмативности и н</w:t>
      </w:r>
      <w:r>
        <w:rPr>
          <w:lang/>
        </w:rPr>
        <w:t>егативности и за увођење неких емпиријских феномена који су разматрани у каснијим поглављима, као што су скаларност и фокалност. Детаљна пажња је посвећена поларно осетљивим изразима и изразима слободног избора у српском језику.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>Шесто поглавље се бави ком</w:t>
      </w:r>
      <w:r>
        <w:rPr>
          <w:lang/>
        </w:rPr>
        <w:t>парацијом придева и семантиком скаларности. У њему се формално дефинише и у предикатски рачун уводи појам скале, помоћу којег се одређују позитив, компаратив и суперлатив придева. Како нису сви придеви градабилни, намеће се и питање особина скала: отворено</w:t>
      </w:r>
      <w:r>
        <w:rPr>
          <w:lang/>
        </w:rPr>
        <w:t>сти односно затворености, бинарности односно вишестепене природе. Комбинацијом ових двеју особина, објашњава се понашање различитих типова придева у погледу компарације и комбинације са модификаторима степена.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 xml:space="preserve">Седмо поглавље је насловљено </w:t>
      </w:r>
      <w:r>
        <w:rPr>
          <w:i/>
          <w:lang/>
        </w:rPr>
        <w:t>Информацијска ст</w:t>
      </w:r>
      <w:r>
        <w:rPr>
          <w:i/>
          <w:lang/>
        </w:rPr>
        <w:t>руктура и њени семантички ефекти</w:t>
      </w:r>
      <w:r>
        <w:rPr>
          <w:lang/>
        </w:rPr>
        <w:t xml:space="preserve">, и полази од питања да ли је информацијска структура искључиво појава из домена прагматике или има и своје семантичке ефекте. Након увођења основних емпиријски препознатих компоненти </w:t>
      </w:r>
      <w:r>
        <w:rPr>
          <w:lang/>
        </w:rPr>
        <w:lastRenderedPageBreak/>
        <w:t>информацијске структуре: топика и фокуса</w:t>
      </w:r>
      <w:r>
        <w:rPr>
          <w:lang/>
        </w:rPr>
        <w:t>, те присуства или одсуства контрастивне компоненте, и њихових могућих комбинација, прелази се на теорију фокуса Елене Хербургер према којој фокус има важне семантичке последице потврђене његовом осетљивошћу на опсег других оператора и квантификатора.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>Осм</w:t>
      </w:r>
      <w:r>
        <w:rPr>
          <w:lang/>
        </w:rPr>
        <w:t>о поглавље је посвећено семантичком моделовању координативних односа. Највећи део поглавља бави се конјункцијским односом, с обзиром на то да је овај однос најосновнијег значења, и да је најфреквентнији у употреби, али и на то да је остварив не само на кла</w:t>
      </w:r>
      <w:r>
        <w:rPr>
          <w:lang/>
        </w:rPr>
        <w:t xml:space="preserve">узалном него и на нижим нивоима конституентности. Разматрају се теорије редукције конјункције, однос координативне и комитативне конјункције, и однос адитивне и интерсективне конјункције. Посебна пажња је посвећена дисјункцији и адверзативној конјункцији, </w:t>
      </w:r>
      <w:r>
        <w:rPr>
          <w:lang/>
        </w:rPr>
        <w:t xml:space="preserve">и понашању свих ових типова конјункције када је у питању асиндетска или полисиндетска веза. У поглављу се преиспитује традиционална подела напоредних интерклаузалних односа у српском језику, са посебном пажњом на везнику </w:t>
      </w:r>
      <w:r>
        <w:rPr>
          <w:i/>
          <w:lang/>
        </w:rPr>
        <w:t>а</w:t>
      </w:r>
      <w:r>
        <w:rPr>
          <w:lang/>
        </w:rPr>
        <w:t xml:space="preserve"> и његовим особинама које га придр</w:t>
      </w:r>
      <w:r>
        <w:rPr>
          <w:lang/>
        </w:rPr>
        <w:t>ужују супротним, односно саставним везницима.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 xml:space="preserve">У поглављу под насловом </w:t>
      </w:r>
      <w:r>
        <w:rPr>
          <w:i/>
          <w:lang/>
        </w:rPr>
        <w:t>Модалност</w:t>
      </w:r>
      <w:r>
        <w:rPr>
          <w:lang/>
        </w:rPr>
        <w:t xml:space="preserve"> обрађена је формална семантика модалних значења. Полази се од суштинског проблема који модални изрази представљају традиционалној исказној и предикатској семантици, и представ</w:t>
      </w:r>
      <w:r>
        <w:rPr>
          <w:lang/>
        </w:rPr>
        <w:t>ља се семантика могућих светова као елегантно решење које успоставља паралелу између неопходности и универзалне квантификације, односно између могућности и егзистенцијалне квантфикације. Уведени су појмови снаге, базе и типова модалности, и у оквиру који о</w:t>
      </w:r>
      <w:r>
        <w:rPr>
          <w:lang/>
        </w:rPr>
        <w:t>ни одређују су дискутовани сви основни модални глаголи српског језика. Поглавље завршава прегледом различитих погледа на онтолошки статус могућих светова.</w:t>
      </w:r>
    </w:p>
    <w:p w:rsidR="008E6AD9" w:rsidRDefault="008E6AD9">
      <w:pPr>
        <w:rPr>
          <w:lang/>
        </w:rPr>
      </w:pPr>
    </w:p>
    <w:p w:rsidR="008E6AD9" w:rsidRDefault="008F7457">
      <w:pPr>
        <w:rPr>
          <w:lang/>
        </w:rPr>
      </w:pPr>
      <w:r>
        <w:rPr>
          <w:lang/>
        </w:rPr>
        <w:t xml:space="preserve">Након што је остатак књиге написан базирајући се на декларативним реченицама, у десетом поглављу се </w:t>
      </w:r>
      <w:r>
        <w:rPr>
          <w:lang/>
        </w:rPr>
        <w:t>поставља питање питања и њихове семантичке природе. Поглавље се састоји од четири одељка, од којих сваки представља по један формалносемантички приступ семантици питања: приступ питањима као зависним клаузама, приступ питањима као скуповима исказа, партици</w:t>
      </w:r>
      <w:r>
        <w:rPr>
          <w:lang/>
        </w:rPr>
        <w:t>јски, те категоријални приступ.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>Последње, једанаесто поглавље поставља питање дна, односно доње границе семантичке анализе. Релативизујући став да формалносемантичко моделовање завршава на нивоу синтаксичке речи, представљају се аргументи за формалносемантичку анализу лексичких значења н</w:t>
      </w:r>
      <w:r>
        <w:rPr>
          <w:lang/>
        </w:rPr>
        <w:t>а компоненте, такозвану лексичку семантичку декомпозицију. Рекапитулира се историјски развој дискусије око овог питања и дају примери декомпозицијских модела семантике глагола, али и других врста речи. Успоставља се веза између семантичке декомпозиције и д</w:t>
      </w:r>
      <w:r>
        <w:rPr>
          <w:lang/>
        </w:rPr>
        <w:t xml:space="preserve">ругих семантичких појава обрађених у ранијим поглављима, попут аспекта и скаларности. </w:t>
      </w:r>
      <w:r>
        <w:rPr>
          <w:lang w:val="sr-Latn-RS"/>
        </w:rPr>
        <w:t xml:space="preserve"> </w:t>
      </w:r>
      <w:r>
        <w:rPr>
          <w:lang/>
        </w:rPr>
        <w:t xml:space="preserve">Сматрам да је ово поглавље од изузетног значаја јер су досадашња истраживања у области лексикологије у спрбистици била структуралистичког или когнитивисточког типа, док </w:t>
      </w:r>
      <w:r>
        <w:rPr>
          <w:lang/>
        </w:rPr>
        <w:t>је формално-семантички приступ избегаван.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>Што се методолошке и дидактичке вредности овог уџбеника тиче, она се пре свега огледа у изванредно питком стилу (чак ми се чини пријатнијом за читање од чувене књиге Е. Баха „Неформала предавања формалне лингвисти</w:t>
      </w:r>
      <w:r>
        <w:rPr>
          <w:lang/>
        </w:rPr>
        <w:t>ке“), духовитим примерима, али и сјајној ауторовој одлуци да на крају сваке јединице да питања за читаоце – студенте.</w:t>
      </w:r>
      <w:r>
        <w:rPr>
          <w:lang/>
        </w:rPr>
        <w:br/>
        <w:t>Једина ствар која мало збуњује је то што у књизи не постоји закључак.</w:t>
      </w: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lastRenderedPageBreak/>
        <w:t>Са великим задовољством и радошћу што се формална семантика званичн</w:t>
      </w:r>
      <w:r>
        <w:rPr>
          <w:lang/>
        </w:rPr>
        <w:t>о појавила у студијама србистике, препоручујем ову књигу за објављивање, а аутору предлажем да је објави и у латиничној верзији како би се могла користити на универзитетима у Региону.</w:t>
      </w:r>
    </w:p>
    <w:p w:rsidR="008E6AD9" w:rsidRDefault="008E6AD9">
      <w:pPr>
        <w:rPr>
          <w:lang/>
        </w:rPr>
      </w:pPr>
    </w:p>
    <w:p w:rsidR="008E6AD9" w:rsidRDefault="008E6AD9">
      <w:pPr>
        <w:rPr>
          <w:lang/>
        </w:rPr>
      </w:pPr>
    </w:p>
    <w:p w:rsidR="008E6AD9" w:rsidRDefault="008F7457">
      <w:r>
        <w:rPr>
          <w:lang/>
        </w:rPr>
        <w:t xml:space="preserve"> </w:t>
      </w:r>
    </w:p>
    <w:sectPr w:rsidR="008E6AD9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D9"/>
    <w:rsid w:val="008E6AD9"/>
    <w:rsid w:val="008F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96997-34B6-4704-A97B-717D3306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6E792D"/>
    <w:pPr>
      <w:spacing w:after="200"/>
    </w:pPr>
    <w:rPr>
      <w:iCs/>
      <w:color w:val="000000" w:themeColor="text1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Boban Arsenijevic</dc:creator>
  <dc:description/>
  <cp:lastModifiedBy>Korisnik</cp:lastModifiedBy>
  <cp:revision>2</cp:revision>
  <dcterms:created xsi:type="dcterms:W3CDTF">2017-05-03T06:41:00Z</dcterms:created>
  <dcterms:modified xsi:type="dcterms:W3CDTF">2017-05-03T06:41:00Z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