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E6" w:rsidRPr="00E73B15" w:rsidRDefault="00C95AE6" w:rsidP="00E73B15">
      <w:pPr>
        <w:pStyle w:val="Default"/>
        <w:spacing w:line="360" w:lineRule="auto"/>
        <w:jc w:val="both"/>
        <w:rPr>
          <w:b/>
          <w:bCs/>
        </w:rPr>
      </w:pPr>
      <w:r w:rsidRPr="00E73B15">
        <w:rPr>
          <w:b/>
          <w:bCs/>
        </w:rPr>
        <w:t>ВЕЋУ ДЕПАРТМАНА ЗА АНГЛИСТИКУ</w:t>
      </w:r>
    </w:p>
    <w:p w:rsidR="00C95AE6" w:rsidRPr="00E73B15" w:rsidRDefault="00C95AE6" w:rsidP="00E73B15">
      <w:pPr>
        <w:pStyle w:val="Default"/>
        <w:spacing w:line="360" w:lineRule="auto"/>
        <w:jc w:val="both"/>
        <w:rPr>
          <w:b/>
          <w:bCs/>
        </w:rPr>
      </w:pPr>
      <w:r w:rsidRPr="00E73B15">
        <w:rPr>
          <w:b/>
          <w:bCs/>
        </w:rPr>
        <w:t>НАСТАВНО-НАУЧНОМ ВЕЋУ ФИЛОЗОФСКОГ ФАКУЛТЕТА</w:t>
      </w:r>
    </w:p>
    <w:p w:rsidR="00C95AE6" w:rsidRPr="00E73B15" w:rsidRDefault="00C95AE6" w:rsidP="00E73B15">
      <w:pPr>
        <w:pStyle w:val="Default"/>
        <w:spacing w:line="360" w:lineRule="auto"/>
        <w:jc w:val="both"/>
        <w:rPr>
          <w:b/>
          <w:bCs/>
        </w:rPr>
      </w:pPr>
    </w:p>
    <w:p w:rsidR="00C95AE6" w:rsidRPr="00E73B15" w:rsidRDefault="00C95AE6" w:rsidP="00E73B15">
      <w:pPr>
        <w:pStyle w:val="Default"/>
        <w:spacing w:line="360" w:lineRule="auto"/>
        <w:jc w:val="both"/>
        <w:rPr>
          <w:b/>
          <w:bCs/>
        </w:rPr>
      </w:pPr>
    </w:p>
    <w:p w:rsidR="00C95AE6" w:rsidRPr="00376EF0" w:rsidRDefault="00C95AE6" w:rsidP="00376EF0">
      <w:pPr>
        <w:pStyle w:val="centar"/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E73B15">
        <w:rPr>
          <w:rFonts w:ascii="Times New Roman" w:hAnsi="Times New Roman"/>
          <w:bCs/>
        </w:rPr>
        <w:t>Одлуком</w:t>
      </w:r>
      <w:r w:rsidRPr="00E73B15">
        <w:rPr>
          <w:bCs/>
        </w:rPr>
        <w:t xml:space="preserve"> </w:t>
      </w:r>
      <w:r w:rsidRPr="00E73B15">
        <w:rPr>
          <w:rFonts w:ascii="Times New Roman" w:hAnsi="Times New Roman"/>
          <w:bCs/>
        </w:rPr>
        <w:t>Наставно</w:t>
      </w:r>
      <w:r w:rsidRPr="00E73B15">
        <w:rPr>
          <w:bCs/>
        </w:rPr>
        <w:t>-</w:t>
      </w:r>
      <w:r w:rsidRPr="00E73B15">
        <w:rPr>
          <w:rFonts w:ascii="Times New Roman" w:hAnsi="Times New Roman"/>
          <w:bCs/>
        </w:rPr>
        <w:t>научног</w:t>
      </w:r>
      <w:r w:rsidRPr="00E73B15">
        <w:rPr>
          <w:bCs/>
        </w:rPr>
        <w:t xml:space="preserve"> </w:t>
      </w:r>
      <w:r w:rsidRPr="00E73B15">
        <w:rPr>
          <w:rFonts w:ascii="Times New Roman" w:hAnsi="Times New Roman"/>
          <w:bCs/>
        </w:rPr>
        <w:t>већа</w:t>
      </w:r>
      <w:r w:rsidRPr="00E73B15">
        <w:rPr>
          <w:bCs/>
        </w:rPr>
        <w:t xml:space="preserve"> </w:t>
      </w:r>
      <w:r w:rsidRPr="00E73B15">
        <w:rPr>
          <w:rFonts w:ascii="Times New Roman" w:hAnsi="Times New Roman"/>
          <w:bCs/>
        </w:rPr>
        <w:t>Филозофског</w:t>
      </w:r>
      <w:r w:rsidRPr="00E73B15">
        <w:rPr>
          <w:bCs/>
        </w:rPr>
        <w:t xml:space="preserve"> </w:t>
      </w:r>
      <w:r w:rsidRPr="00E73B15">
        <w:rPr>
          <w:rFonts w:ascii="Times New Roman" w:hAnsi="Times New Roman"/>
          <w:bCs/>
        </w:rPr>
        <w:t>факултета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у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Нишу</w:t>
      </w:r>
      <w:r>
        <w:rPr>
          <w:bCs/>
        </w:rPr>
        <w:t xml:space="preserve"> (</w:t>
      </w:r>
      <w:r>
        <w:rPr>
          <w:rFonts w:ascii="Calibri" w:hAnsi="Calibri"/>
          <w:sz w:val="22"/>
          <w:szCs w:val="22"/>
        </w:rPr>
        <w:t>б</w:t>
      </w:r>
      <w:r w:rsidRPr="00376EF0">
        <w:rPr>
          <w:rFonts w:ascii="Times New Roman" w:hAnsi="Times New Roman"/>
          <w:sz w:val="22"/>
          <w:szCs w:val="22"/>
          <w:lang w:val="ru-RU"/>
        </w:rPr>
        <w:t>рој</w:t>
      </w:r>
      <w:r w:rsidRPr="00376EF0">
        <w:rPr>
          <w:sz w:val="22"/>
          <w:szCs w:val="22"/>
          <w:lang w:val="ru-RU"/>
        </w:rPr>
        <w:t xml:space="preserve">: </w:t>
      </w:r>
      <w:r w:rsidRPr="00376EF0">
        <w:rPr>
          <w:sz w:val="22"/>
          <w:szCs w:val="22"/>
        </w:rPr>
        <w:t>232</w:t>
      </w:r>
      <w:r w:rsidRPr="00376EF0">
        <w:rPr>
          <w:sz w:val="22"/>
          <w:szCs w:val="22"/>
          <w:lang w:val="sr-Cyrl-CS"/>
        </w:rPr>
        <w:t>/</w:t>
      </w:r>
      <w:r w:rsidRPr="00376EF0">
        <w:rPr>
          <w:sz w:val="22"/>
          <w:szCs w:val="22"/>
          <w:lang w:val="ru-RU"/>
        </w:rPr>
        <w:t>1-4</w:t>
      </w:r>
      <w:r w:rsidRPr="00376EF0">
        <w:rPr>
          <w:sz w:val="22"/>
          <w:szCs w:val="22"/>
          <w:lang w:val="sr-Cyrl-CS"/>
        </w:rPr>
        <w:t>-</w:t>
      </w:r>
      <w:r w:rsidRPr="00376EF0">
        <w:rPr>
          <w:sz w:val="22"/>
          <w:szCs w:val="22"/>
        </w:rPr>
        <w:t>2</w:t>
      </w:r>
      <w:r w:rsidRPr="00376EF0">
        <w:rPr>
          <w:sz w:val="22"/>
          <w:szCs w:val="22"/>
          <w:lang w:val="sr-Cyrl-CS"/>
        </w:rPr>
        <w:t>-</w:t>
      </w:r>
      <w:r w:rsidRPr="00376EF0">
        <w:rPr>
          <w:sz w:val="22"/>
          <w:szCs w:val="22"/>
        </w:rPr>
        <w:t>01</w:t>
      </w:r>
      <w:r>
        <w:rPr>
          <w:rFonts w:ascii="Calibri" w:hAnsi="Calibri"/>
          <w:sz w:val="22"/>
          <w:szCs w:val="22"/>
        </w:rPr>
        <w:t xml:space="preserve">, </w:t>
      </w:r>
      <w:r>
        <w:rPr>
          <w:rFonts w:ascii="Times New Roman" w:hAnsi="Times New Roman"/>
          <w:szCs w:val="24"/>
        </w:rPr>
        <w:t xml:space="preserve">донетој </w:t>
      </w:r>
      <w:bookmarkStart w:id="0" w:name="_GoBack"/>
      <w:bookmarkEnd w:id="0"/>
      <w:r>
        <w:rPr>
          <w:rFonts w:ascii="Times New Roman" w:hAnsi="Times New Roman"/>
          <w:szCs w:val="24"/>
        </w:rPr>
        <w:t>на седници одржаној</w:t>
      </w:r>
      <w:r w:rsidRPr="00376EF0">
        <w:rPr>
          <w:rFonts w:ascii="Times New Roman" w:hAnsi="Times New Roman"/>
          <w:szCs w:val="24"/>
          <w:lang w:val="ru-RU"/>
        </w:rPr>
        <w:t xml:space="preserve"> </w:t>
      </w:r>
      <w:r w:rsidRPr="00376EF0">
        <w:rPr>
          <w:rFonts w:ascii="Times New Roman" w:hAnsi="Times New Roman"/>
          <w:szCs w:val="24"/>
        </w:rPr>
        <w:t>13</w:t>
      </w:r>
      <w:r w:rsidRPr="00376EF0">
        <w:rPr>
          <w:rFonts w:ascii="Times New Roman" w:hAnsi="Times New Roman"/>
          <w:szCs w:val="24"/>
          <w:lang w:val="ru-RU"/>
        </w:rPr>
        <w:t>.</w:t>
      </w:r>
      <w:r w:rsidRPr="00376EF0">
        <w:rPr>
          <w:rFonts w:ascii="Times New Roman" w:hAnsi="Times New Roman"/>
          <w:szCs w:val="24"/>
        </w:rPr>
        <w:t xml:space="preserve"> </w:t>
      </w:r>
      <w:r w:rsidRPr="00376EF0">
        <w:rPr>
          <w:rFonts w:ascii="Times New Roman" w:hAnsi="Times New Roman"/>
          <w:szCs w:val="24"/>
          <w:lang w:val="sr-Cyrl-CS"/>
        </w:rPr>
        <w:t xml:space="preserve">јула </w:t>
      </w:r>
      <w:r w:rsidRPr="00376EF0">
        <w:rPr>
          <w:rFonts w:ascii="Times New Roman" w:hAnsi="Times New Roman"/>
          <w:szCs w:val="24"/>
          <w:lang w:val="ru-RU"/>
        </w:rPr>
        <w:t xml:space="preserve">2016. године </w:t>
      </w:r>
      <w:r>
        <w:rPr>
          <w:rFonts w:ascii="Times New Roman" w:hAnsi="Times New Roman"/>
          <w:szCs w:val="24"/>
          <w:lang w:val="ru-RU"/>
        </w:rPr>
        <w:t>у</w:t>
      </w:r>
      <w:r w:rsidRPr="00376EF0">
        <w:rPr>
          <w:rFonts w:ascii="Times New Roman" w:hAnsi="Times New Roman"/>
          <w:szCs w:val="24"/>
          <w:lang w:val="ru-RU"/>
        </w:rPr>
        <w:t xml:space="preserve"> Нишу</w:t>
      </w:r>
      <w:r>
        <w:rPr>
          <w:rFonts w:ascii="Times New Roman" w:hAnsi="Times New Roman"/>
          <w:szCs w:val="24"/>
          <w:lang w:val="ru-RU"/>
        </w:rPr>
        <w:t>)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изабрани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смо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за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чланове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Комисије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за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оцену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и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одбрану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докторске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дисертације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кандидаткиње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мр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Марте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Величковић</w:t>
      </w:r>
      <w:r>
        <w:rPr>
          <w:bCs/>
        </w:rPr>
        <w:t xml:space="preserve">, </w:t>
      </w:r>
      <w:r>
        <w:rPr>
          <w:rFonts w:ascii="Times New Roman" w:hAnsi="Times New Roman"/>
          <w:bCs/>
        </w:rPr>
        <w:t>под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називом</w:t>
      </w:r>
      <w:r>
        <w:rPr>
          <w:bCs/>
        </w:rPr>
        <w:t xml:space="preserve"> </w:t>
      </w:r>
      <w:r>
        <w:rPr>
          <w:rFonts w:ascii="Times New Roman" w:hAnsi="Times New Roman"/>
          <w:bCs/>
          <w:i/>
        </w:rPr>
        <w:t>Употреба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одређеног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члана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у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енглеском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језику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у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теорији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менталних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простора</w:t>
      </w:r>
      <w:r>
        <w:rPr>
          <w:bCs/>
          <w:i/>
        </w:rPr>
        <w:t xml:space="preserve">: </w:t>
      </w:r>
      <w:r>
        <w:rPr>
          <w:rFonts w:ascii="Times New Roman" w:hAnsi="Times New Roman"/>
          <w:bCs/>
          <w:i/>
        </w:rPr>
        <w:t>Могућност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примене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у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настави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енглеског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као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страног</w:t>
      </w:r>
      <w:r>
        <w:rPr>
          <w:bCs/>
          <w:i/>
        </w:rPr>
        <w:t xml:space="preserve"> </w:t>
      </w:r>
      <w:r>
        <w:rPr>
          <w:rFonts w:ascii="Times New Roman" w:hAnsi="Times New Roman"/>
          <w:bCs/>
          <w:i/>
        </w:rPr>
        <w:t>језика</w:t>
      </w:r>
      <w:r>
        <w:rPr>
          <w:bCs/>
        </w:rPr>
        <w:t xml:space="preserve">. </w:t>
      </w:r>
      <w:r>
        <w:rPr>
          <w:rFonts w:ascii="Times New Roman" w:hAnsi="Times New Roman"/>
          <w:bCs/>
        </w:rPr>
        <w:t>Након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детаљне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анализе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текста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дисертације</w:t>
      </w:r>
      <w:r>
        <w:rPr>
          <w:bCs/>
        </w:rPr>
        <w:t xml:space="preserve">, </w:t>
      </w:r>
      <w:r>
        <w:rPr>
          <w:rFonts w:ascii="Times New Roman" w:hAnsi="Times New Roman"/>
          <w:bCs/>
        </w:rPr>
        <w:t>Комисија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у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саставу</w:t>
      </w:r>
    </w:p>
    <w:p w:rsidR="00C95AE6" w:rsidRDefault="00C95AE6" w:rsidP="00E73B15">
      <w:pPr>
        <w:pStyle w:val="Default"/>
        <w:spacing w:line="360" w:lineRule="auto"/>
        <w:jc w:val="both"/>
        <w:rPr>
          <w:bCs/>
        </w:rPr>
      </w:pPr>
    </w:p>
    <w:p w:rsidR="00C95AE6" w:rsidRDefault="00C95AE6" w:rsidP="00E73B15">
      <w:pPr>
        <w:pStyle w:val="Default"/>
        <w:spacing w:line="360" w:lineRule="auto"/>
        <w:jc w:val="both"/>
        <w:rPr>
          <w:bCs/>
        </w:rPr>
      </w:pPr>
    </w:p>
    <w:p w:rsidR="00C95AE6" w:rsidRDefault="00C95AE6" w:rsidP="00E73B15">
      <w:pPr>
        <w:pStyle w:val="Default"/>
        <w:spacing w:line="360" w:lineRule="auto"/>
        <w:jc w:val="both"/>
        <w:rPr>
          <w:bCs/>
        </w:rPr>
      </w:pPr>
      <w:r>
        <w:rPr>
          <w:bCs/>
        </w:rPr>
        <w:t>1. др Михаило Антовић, ванредни професор Филозофског факултета у Нишу, ментор</w:t>
      </w:r>
    </w:p>
    <w:p w:rsidR="00C95AE6" w:rsidRDefault="00C95AE6" w:rsidP="00E73B15">
      <w:pPr>
        <w:pStyle w:val="Default"/>
        <w:spacing w:line="360" w:lineRule="auto"/>
        <w:jc w:val="both"/>
        <w:rPr>
          <w:bCs/>
        </w:rPr>
      </w:pPr>
      <w:r>
        <w:rPr>
          <w:bCs/>
        </w:rPr>
        <w:t xml:space="preserve">2. др Ђорђе Видановић, редовни професор Филозофског факултета у Нишу и </w:t>
      </w:r>
    </w:p>
    <w:p w:rsidR="00C95AE6" w:rsidRDefault="00C95AE6" w:rsidP="00E73B15">
      <w:pPr>
        <w:pStyle w:val="Default"/>
        <w:spacing w:line="360" w:lineRule="auto"/>
        <w:jc w:val="both"/>
        <w:rPr>
          <w:bCs/>
        </w:rPr>
      </w:pPr>
      <w:r>
        <w:rPr>
          <w:bCs/>
        </w:rPr>
        <w:t>3. др Биљана Радић Бојанић, ванредни професор Филозофског факултета у Новом Саду</w:t>
      </w:r>
    </w:p>
    <w:p w:rsidR="00C95AE6" w:rsidRPr="005A2798" w:rsidRDefault="00C95AE6" w:rsidP="00E73B15">
      <w:pPr>
        <w:pStyle w:val="Default"/>
        <w:spacing w:line="360" w:lineRule="auto"/>
        <w:jc w:val="both"/>
        <w:rPr>
          <w:bCs/>
        </w:rPr>
      </w:pPr>
    </w:p>
    <w:p w:rsidR="00C95AE6" w:rsidRPr="005A2798" w:rsidRDefault="00C95AE6" w:rsidP="00E73B15">
      <w:pPr>
        <w:pStyle w:val="Default"/>
        <w:spacing w:line="360" w:lineRule="auto"/>
        <w:jc w:val="both"/>
        <w:rPr>
          <w:bCs/>
        </w:rPr>
      </w:pPr>
      <w:r w:rsidRPr="005A2798">
        <w:rPr>
          <w:bCs/>
        </w:rPr>
        <w:t xml:space="preserve">има задовољство да поднесе Наставно-научном већу Филозофског факултета </w:t>
      </w:r>
      <w:r>
        <w:rPr>
          <w:bCs/>
        </w:rPr>
        <w:t xml:space="preserve">у Нишу </w:t>
      </w:r>
      <w:r w:rsidRPr="005A2798">
        <w:rPr>
          <w:bCs/>
        </w:rPr>
        <w:t>следећи</w:t>
      </w:r>
    </w:p>
    <w:p w:rsidR="00C95AE6" w:rsidRPr="005A2798" w:rsidRDefault="00C95AE6" w:rsidP="00E73B15">
      <w:pPr>
        <w:pStyle w:val="Default"/>
        <w:spacing w:line="360" w:lineRule="auto"/>
        <w:jc w:val="both"/>
        <w:rPr>
          <w:bCs/>
        </w:rPr>
      </w:pPr>
    </w:p>
    <w:p w:rsidR="00C95AE6" w:rsidRPr="005A2798" w:rsidRDefault="00C95AE6" w:rsidP="00E73B15">
      <w:pPr>
        <w:pStyle w:val="Default"/>
        <w:spacing w:line="360" w:lineRule="auto"/>
        <w:jc w:val="center"/>
        <w:rPr>
          <w:b/>
          <w:bCs/>
          <w:sz w:val="32"/>
          <w:szCs w:val="32"/>
        </w:rPr>
      </w:pPr>
      <w:r w:rsidRPr="005A2798">
        <w:rPr>
          <w:b/>
          <w:bCs/>
          <w:sz w:val="32"/>
          <w:szCs w:val="32"/>
        </w:rPr>
        <w:t>ИЗВЕШТАЈ</w:t>
      </w:r>
    </w:p>
    <w:p w:rsidR="00C95AE6" w:rsidRPr="005A2798" w:rsidRDefault="00C95AE6" w:rsidP="00E73B15">
      <w:pPr>
        <w:pStyle w:val="Default"/>
        <w:spacing w:line="360" w:lineRule="auto"/>
        <w:jc w:val="both"/>
        <w:rPr>
          <w:b/>
          <w:bCs/>
        </w:rPr>
      </w:pPr>
    </w:p>
    <w:p w:rsidR="00C95AE6" w:rsidRPr="005A2798" w:rsidRDefault="00C95AE6" w:rsidP="00E73B15">
      <w:pPr>
        <w:pStyle w:val="Default"/>
        <w:spacing w:line="360" w:lineRule="auto"/>
        <w:jc w:val="both"/>
        <w:rPr>
          <w:b/>
          <w:bCs/>
        </w:rPr>
      </w:pPr>
      <w:r w:rsidRPr="005A2798">
        <w:rPr>
          <w:b/>
          <w:bCs/>
        </w:rPr>
        <w:t>СТРУКТУРА ДОКТОРСКЕ ДИСЕРТАЦИЈЕ:</w:t>
      </w:r>
    </w:p>
    <w:p w:rsidR="00C95AE6" w:rsidRPr="005A2798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2798">
        <w:rPr>
          <w:rFonts w:ascii="Times New Roman" w:hAnsi="Times New Roman"/>
          <w:sz w:val="24"/>
          <w:szCs w:val="24"/>
        </w:rPr>
        <w:t xml:space="preserve">Докторска дисертација </w:t>
      </w:r>
      <w:r w:rsidRPr="005A2798">
        <w:rPr>
          <w:rFonts w:ascii="Times New Roman" w:hAnsi="Times New Roman"/>
          <w:i/>
          <w:sz w:val="24"/>
          <w:szCs w:val="24"/>
        </w:rPr>
        <w:t>Употреба одређеног члана у енглеском језику у теорији менталних простора: могућност примене у настави енглеског као страног језика</w:t>
      </w:r>
      <w:r w:rsidRPr="005A2798">
        <w:rPr>
          <w:rFonts w:ascii="Times New Roman" w:hAnsi="Times New Roman"/>
          <w:sz w:val="24"/>
          <w:szCs w:val="24"/>
        </w:rPr>
        <w:t xml:space="preserve"> обухвата 302 куцане странице. Састоји се из два дела –теоријског, који обухвата првих десет поглавља (стр. 14–166) и експерименталног, који обухвата преостала четири поглавља (стр. 167–252). Библиографија приложена на крају рада (стр. 253</w:t>
      </w:r>
      <w:r>
        <w:rPr>
          <w:rFonts w:ascii="Times New Roman" w:hAnsi="Times New Roman"/>
          <w:sz w:val="24"/>
          <w:szCs w:val="24"/>
        </w:rPr>
        <w:t>–2</w:t>
      </w:r>
      <w:r w:rsidRPr="005A2798">
        <w:rPr>
          <w:rFonts w:ascii="Times New Roman" w:hAnsi="Times New Roman"/>
          <w:sz w:val="24"/>
          <w:szCs w:val="24"/>
        </w:rPr>
        <w:t>69) садржи 203 јединице, углавном на енглеском језику и новијег датума. Рад садржи и резиме, на српском и енглеском језику, као и кратку биографију кандидаткиње. Дисертација садржи и укупно 37 табела.</w:t>
      </w:r>
    </w:p>
    <w:p w:rsidR="00C95AE6" w:rsidRDefault="00C95AE6" w:rsidP="00E73B1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5AE6" w:rsidRPr="005A2798" w:rsidRDefault="00C95AE6" w:rsidP="00E73B1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A2798">
        <w:rPr>
          <w:rFonts w:ascii="Times New Roman" w:hAnsi="Times New Roman"/>
          <w:b/>
          <w:sz w:val="24"/>
          <w:szCs w:val="24"/>
        </w:rPr>
        <w:t>ПРЕГЛЕД И АНАЛИЗА ПОЈЕДИНИХ ДЕЛОВА ДОКТОРСКЕ ДИСЕРТАЦИЈЕ:</w:t>
      </w:r>
    </w:p>
    <w:p w:rsidR="00C95AE6" w:rsidRPr="005A2798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2798">
        <w:rPr>
          <w:rFonts w:ascii="Times New Roman" w:hAnsi="Times New Roman"/>
          <w:sz w:val="24"/>
          <w:szCs w:val="24"/>
        </w:rPr>
        <w:t xml:space="preserve">Дисертација се бави сложеним проблемом (правилног) усвајања употребе чланова уопште, а нарочито одређеног члана, код ученика енглеског као страног језика на високом нивоу језичке компетенције (студенти англистике и студенти других друштвено-хуманистичких наука који уче енглески језик у току основних студија). Значај овако постављене теме је двострук. Најпре је и сам проблем употребе чланова у енглеском увек важан, имајући у виду чињеницу да у формалном смислу граматичка категорија члана не постоји у српском језику. Из овога разлога, дата граматичка структура, и са њом повезане наставне јединице, увек представљају искушење за ученике са наших простора. Уз то, теоријски оквир који је кандидаткиња изабрала у своме раду - когнитивна лингвистика, прецизније теорија менталних простора обогаћена увидима теорије сликовних схема, заједничке пажње и гешталт психологије - представља релативно нов и у свету данас сасвим актуелан приступ науци о језику. У том смислу, дисертација је имала двојак циљ: теоријски, да опише нова достигнућа у когнитивној лингвистици као делу опште лингвистике, са посебном пажњом посвећеном теорији менталних простора Жила Фоконијеа; те практичан, да провери евентуалну применљивост овога приступа - који понекад трпи критике да је артифицијелан и без значајне употребне вредности - у методици наставе енглеског као страног језика. Дисертација се, дакле, састоји из два дела: теоријског, који је детаљно анализирао постулате когнитивне лингвистике релевантне за проблем којим се кандидаткиња бавила у своме раду, као и практичног, који је описао врло конкретну вишенедељну експерименталну процедуру, у којој су се три групе студената поучавале употреби одређеног члана двама методама („когнитивистички“ приступ, „традиционални“ приступ, контролна група - без експлицитних инструкција). Овде је кандидаткиња очекивала да ће метода која се обилато користила принципима и конструктима когнитивне лингвистике да однесе превагу над традиционалним приступом, у коме се само наводе десетине појединачних употреба члана из старијих структуралистичких граматичких описа. </w:t>
      </w:r>
    </w:p>
    <w:p w:rsidR="00C95AE6" w:rsidRPr="005A2798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2798">
        <w:rPr>
          <w:rFonts w:ascii="Times New Roman" w:hAnsi="Times New Roman"/>
          <w:sz w:val="24"/>
          <w:szCs w:val="24"/>
        </w:rPr>
        <w:t xml:space="preserve">Дисертација као таква представља вредан покушај да се когнитивна лингвистика „издигне“ из чисто теоријског </w:t>
      </w:r>
      <w:r>
        <w:rPr>
          <w:rFonts w:ascii="Times New Roman" w:hAnsi="Times New Roman"/>
          <w:sz w:val="24"/>
          <w:szCs w:val="24"/>
        </w:rPr>
        <w:t xml:space="preserve">домена </w:t>
      </w:r>
      <w:r w:rsidRPr="005A2798">
        <w:rPr>
          <w:rFonts w:ascii="Times New Roman" w:hAnsi="Times New Roman"/>
          <w:sz w:val="24"/>
          <w:szCs w:val="24"/>
        </w:rPr>
        <w:t xml:space="preserve">и избори за статус релевантног приступа и у примењеној лингвистици, пре свега методици наставе страних језика. Дати циљ је вредан похвале, будући да су и у свету овакви подухвати још увек посве ретки (у вези са одређеним чланом, број истраживача који се - уз кандидаткињу - баве проблемом јако је мали). Самим тим, овакав приступ има потенцијал да привуче интересовање светски признатих истраживача из области когнитивне лингвистике, укључујући и неке од родоначелника дисциплине. Структура рада је, дакако, одсликала овакву намеру кандидаткиње.  </w:t>
      </w:r>
    </w:p>
    <w:p w:rsidR="00C95AE6" w:rsidRPr="00260C5E" w:rsidRDefault="00C95AE6" w:rsidP="003B0A4C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5A2798">
        <w:rPr>
          <w:rFonts w:ascii="Times New Roman" w:hAnsi="Times New Roman"/>
          <w:sz w:val="24"/>
          <w:szCs w:val="24"/>
        </w:rPr>
        <w:t xml:space="preserve">У </w:t>
      </w:r>
      <w:r w:rsidRPr="005A2798">
        <w:rPr>
          <w:rFonts w:ascii="Times New Roman" w:hAnsi="Times New Roman"/>
          <w:b/>
          <w:sz w:val="24"/>
          <w:szCs w:val="24"/>
        </w:rPr>
        <w:t>Уводу</w:t>
      </w:r>
      <w:r w:rsidRPr="005A2798">
        <w:rPr>
          <w:rFonts w:ascii="Times New Roman" w:hAnsi="Times New Roman"/>
          <w:sz w:val="24"/>
          <w:szCs w:val="24"/>
        </w:rPr>
        <w:t xml:space="preserve"> (стр. 14–18) мр Величковић даје преглед основног предмета и циљева рада. Изложила је основни проблем усвајања одређеног члана код српских говорника енглеског језика. У поједностављеној форми, он се може дефинисати на следећи начин: Код напредних ученика енглеског језика, па чак и код студената англистике, често је изостављање чланова и њихова неправилна употреба, што доводи у питање квалитет садашњег класичног приступа члану у настави страног језика. Колегиница Величковић покушала је да примени иновације базиране на значајном истраживачком програму когнитивне лингвистике. Циљеви истраживања били су вишеструки. Основна намера дисертације била је 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да </w:t>
      </w:r>
      <w:r w:rsidRPr="005A2798">
        <w:rPr>
          <w:rFonts w:ascii="Times New Roman" w:hAnsi="Times New Roman"/>
          <w:sz w:val="24"/>
          <w:szCs w:val="24"/>
        </w:rPr>
        <w:t xml:space="preserve">се 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теоријски и експериментално испита </w:t>
      </w:r>
      <w:r w:rsidRPr="005A2798">
        <w:rPr>
          <w:rFonts w:ascii="Times New Roman" w:hAnsi="Times New Roman"/>
          <w:sz w:val="24"/>
          <w:szCs w:val="24"/>
        </w:rPr>
        <w:t xml:space="preserve">могућа примена појединих 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теза когнитивне граматике и теорије менталних простора у савременој настави енглеског као страног језика.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смислу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циљеви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били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</w:t>
      </w:r>
      <w:r w:rsidRPr="00E73B15">
        <w:rPr>
          <w:rFonts w:ascii="Times New Roman" w:hAnsi="Times New Roman"/>
          <w:sz w:val="24"/>
          <w:szCs w:val="24"/>
          <w:lang w:val="sr-Latn-CS"/>
        </w:rPr>
        <w:t>а се понуди опис изабраних концепата когнитивне лингвистике и основних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претпоставки теорије менталних простора </w:t>
      </w:r>
      <w:r>
        <w:rPr>
          <w:rFonts w:ascii="Times New Roman" w:hAnsi="Times New Roman"/>
          <w:sz w:val="24"/>
          <w:szCs w:val="24"/>
        </w:rPr>
        <w:t>ради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  <w:lang w:val="sr-Latn-CS"/>
        </w:rPr>
        <w:t>њихове примене у савременој наставној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  <w:lang w:val="sr-Latn-CS"/>
        </w:rPr>
        <w:t>прак</w:t>
      </w:r>
      <w:r>
        <w:rPr>
          <w:rFonts w:ascii="Times New Roman" w:hAnsi="Times New Roman"/>
          <w:sz w:val="24"/>
          <w:szCs w:val="24"/>
          <w:lang w:val="sr-Latn-CS"/>
        </w:rPr>
        <w:t>си енглеског као страног језика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алтернативни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Овај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потоњи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по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замисли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кандидаткиње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може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представити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светлу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прототипова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оваквој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парадигми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чак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сасвим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формалне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граматичке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sz w:val="24"/>
          <w:szCs w:val="24"/>
        </w:rPr>
        <w:t>као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што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sz w:val="24"/>
          <w:szCs w:val="24"/>
        </w:rPr>
        <w:t>поседују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степен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схематског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</w:rPr>
        <w:t>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могу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анализирати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класичним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семантичким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теоријама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где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когнитивној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лингвистици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доминантан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теоријом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прототипа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Код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теорије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свака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поседује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основно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sz w:val="24"/>
          <w:szCs w:val="24"/>
        </w:rPr>
        <w:t>тј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прототипско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значење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из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могу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често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метафоричком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</w:rPr>
        <w:t>екстензијом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изведу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деривирана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тврди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може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посматра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комбинациј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Pr="00E73B15">
        <w:rPr>
          <w:rFonts w:ascii="Times New Roman" w:hAnsi="Times New Roman"/>
          <w:sz w:val="24"/>
          <w:szCs w:val="24"/>
        </w:rPr>
        <w:t>основног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централног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радијалних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али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повезаних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заснованих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гешталтистичком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постулату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шаре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позадин</w:t>
      </w:r>
      <w:r>
        <w:rPr>
          <w:rFonts w:ascii="Times New Roman" w:hAnsi="Times New Roman"/>
          <w:sz w:val="24"/>
          <w:szCs w:val="24"/>
        </w:rPr>
        <w:t>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практичном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смислу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 циљ </w:t>
      </w:r>
      <w:r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био</w:t>
      </w:r>
      <w:r w:rsidRPr="00E73B15">
        <w:rPr>
          <w:rFonts w:ascii="Times New Roman" w:hAnsi="Times New Roman"/>
          <w:sz w:val="24"/>
          <w:szCs w:val="24"/>
          <w:lang w:val="sr-Latn-CS"/>
        </w:rPr>
        <w:t xml:space="preserve"> да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  <w:lang w:val="sr-Latn-CS"/>
        </w:rPr>
        <w:t>провери да ли употреба постулата теорије менталних простора може да помогне бољем савладавању проблема усвајања одређеног члана у енглеском језику код српских ученика.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постављена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следећа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питања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sz w:val="24"/>
          <w:szCs w:val="24"/>
        </w:rPr>
        <w:t>Хоће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испитаници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добијали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заснована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премисама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лингвистике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постићи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боље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него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испитаници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слушали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заснована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традициионалном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ˮ </w:t>
      </w:r>
      <w:r w:rsidRPr="00E73B15">
        <w:rPr>
          <w:rFonts w:ascii="Times New Roman" w:hAnsi="Times New Roman"/>
          <w:sz w:val="24"/>
          <w:szCs w:val="24"/>
        </w:rPr>
        <w:t>приступу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чланова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? </w:t>
      </w:r>
      <w:r w:rsidRPr="00E73B15">
        <w:rPr>
          <w:rFonts w:ascii="Times New Roman" w:hAnsi="Times New Roman"/>
          <w:sz w:val="24"/>
          <w:szCs w:val="24"/>
        </w:rPr>
        <w:t>Хоће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метод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показати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ефикаснијим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популацију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Департмана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англистику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похађају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неким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осталих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департмана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Филозофског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факултета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Нишу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? </w:t>
      </w:r>
      <w:r>
        <w:rPr>
          <w:rFonts w:ascii="Times New Roman" w:hAnsi="Times New Roman"/>
          <w:sz w:val="24"/>
          <w:szCs w:val="24"/>
        </w:rPr>
        <w:t>З</w:t>
      </w:r>
      <w:r w:rsidRPr="00E73B15">
        <w:rPr>
          <w:rFonts w:ascii="Times New Roman" w:hAnsi="Times New Roman"/>
          <w:sz w:val="24"/>
          <w:szCs w:val="24"/>
        </w:rPr>
        <w:t>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три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данас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описане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когнитивистичком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бити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забележен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највећи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напредак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нивоу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? </w:t>
      </w:r>
      <w:r w:rsidRPr="00E73B15">
        <w:rPr>
          <w:rFonts w:ascii="Times New Roman" w:hAnsi="Times New Roman"/>
          <w:sz w:val="24"/>
          <w:szCs w:val="24"/>
        </w:rPr>
        <w:t>Друго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Теоријске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основе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истраживања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b/>
          <w:sz w:val="24"/>
          <w:szCs w:val="24"/>
        </w:rPr>
        <w:t>Когнитивна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лингвистика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5A2798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19–24) </w:t>
      </w:r>
      <w:r w:rsidRPr="00E73B15">
        <w:rPr>
          <w:rFonts w:ascii="Times New Roman" w:hAnsi="Times New Roman"/>
          <w:sz w:val="24"/>
          <w:szCs w:val="24"/>
        </w:rPr>
        <w:t>пружа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савремених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схватања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главних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одлика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когнитивистичког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когнитивних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наука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лингвистике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),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начина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овај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примењивао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страног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самостално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ком</w:t>
      </w:r>
      <w:r>
        <w:rPr>
          <w:rFonts w:ascii="Times New Roman" w:hAnsi="Times New Roman"/>
          <w:sz w:val="24"/>
          <w:szCs w:val="24"/>
        </w:rPr>
        <w:t>бинацији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Нешто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пажње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посвећено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начину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непроменљиве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речи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попут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) </w:t>
      </w:r>
      <w:r w:rsidRPr="00E73B15">
        <w:rPr>
          <w:rFonts w:ascii="Times New Roman" w:hAnsi="Times New Roman"/>
          <w:sz w:val="24"/>
          <w:szCs w:val="24"/>
        </w:rPr>
        <w:t>могу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анализирати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когнитивистичком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апарату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трећем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Когнитивна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лингвистика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b/>
          <w:sz w:val="24"/>
          <w:szCs w:val="24"/>
        </w:rPr>
        <w:t>Кључни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концепти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за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анализу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употребе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одређеног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члана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енглеском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језику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5A2798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25–41),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бави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конструктима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лингвистике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важни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истакнуте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циљеве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хипотезе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sz w:val="24"/>
          <w:szCs w:val="24"/>
        </w:rPr>
        <w:t>субјективном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природом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тумачења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(construal), </w:t>
      </w:r>
      <w:r w:rsidRPr="00E73B15">
        <w:rPr>
          <w:rFonts w:ascii="Times New Roman" w:hAnsi="Times New Roman"/>
          <w:sz w:val="24"/>
          <w:szCs w:val="24"/>
        </w:rPr>
        <w:t>оквирима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доменима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(frames and domains) </w:t>
      </w:r>
      <w:r w:rsidRPr="00E73B15">
        <w:rPr>
          <w:rFonts w:ascii="Times New Roman" w:hAnsi="Times New Roman"/>
          <w:sz w:val="24"/>
          <w:szCs w:val="24"/>
        </w:rPr>
        <w:t>па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самим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непосредним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имплицитном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контекстом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схемама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схематизацијом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идеализованим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моделима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(idealized cognitive models, ICM).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датом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описује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гешталт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принцип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истицања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шаре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позадину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психолошки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конструкт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готово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једног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века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но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данас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тако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важан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различитим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областима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когнитивне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лингвистике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могући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формални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механизам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можемо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дођемо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основног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граматичкога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истиче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међузависност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описаних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концепата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њихову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могућу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садржи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адекватне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релевантне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литературе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Четврто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насловом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Теорија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менталних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простора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5A2798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42–57), </w:t>
      </w:r>
      <w:r w:rsidRPr="00E73B15">
        <w:rPr>
          <w:rFonts w:ascii="Times New Roman" w:hAnsi="Times New Roman"/>
          <w:sz w:val="24"/>
          <w:szCs w:val="24"/>
        </w:rPr>
        <w:t>пружа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општих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одлика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ове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њему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скреће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пажњу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чињеницу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неоправдано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литератури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овај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ретко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среће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практичним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премда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често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цитира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релевантан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језика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значења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посебан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акценат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ставља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менталних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простора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непроменљивих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речи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која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представља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последицу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релације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менталних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простора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непосредног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имплицитног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контекста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Значајан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бави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везама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менталних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простора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могуће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датих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референцијалних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илустрована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анализом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преузетих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радова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одговарајуће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групе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испитаника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непосредну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сарадњу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Другим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речима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кандидаткиња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анализирала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типичне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грешке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употреби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одређеног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писаним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радовима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студената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англистике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поставила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хипотезу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многе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њих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настају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услед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неразумевања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апстрактних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односа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између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менталних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простора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настају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току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дискурса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Пето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Теорија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прототипова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служби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анализе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употребе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одређеног</w:t>
      </w:r>
      <w:r w:rsidRPr="005A2798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члана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2798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5A2798">
        <w:rPr>
          <w:rFonts w:ascii="Times New Roman" w:hAnsi="Times New Roman"/>
          <w:sz w:val="24"/>
          <w:szCs w:val="24"/>
          <w:lang w:val="sr-Latn-CS"/>
        </w:rPr>
        <w:t>. 58–66),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прототипа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онако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како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уобличили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Еленор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Рош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когнитивној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психологији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Џорџ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Лејкоф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лингвистици</w:t>
      </w:r>
      <w:r w:rsidRPr="005A2798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истакла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може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послужи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добар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хипотезу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постојању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изворног</w:t>
      </w:r>
      <w:r w:rsidRPr="00260C5E">
        <w:rPr>
          <w:rFonts w:ascii="Times New Roman" w:hAnsi="Times New Roman"/>
          <w:sz w:val="24"/>
          <w:szCs w:val="24"/>
          <w:lang w:val="sr-Latn-CS"/>
        </w:rPr>
        <w:t>, „</w:t>
      </w:r>
      <w:r w:rsidRPr="00E73B15">
        <w:rPr>
          <w:rFonts w:ascii="Times New Roman" w:hAnsi="Times New Roman"/>
          <w:sz w:val="24"/>
          <w:szCs w:val="24"/>
        </w:rPr>
        <w:t>централног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граматичког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значења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које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број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повезаних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премда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ређе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проминентних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наводи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оваквог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истичу</w:t>
      </w:r>
      <w:r w:rsidRPr="00E73B15">
        <w:rPr>
          <w:rFonts w:ascii="Times New Roman" w:hAnsi="Times New Roman"/>
          <w:sz w:val="24"/>
          <w:szCs w:val="24"/>
        </w:rPr>
        <w:t>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тиме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умањио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број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правила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срећу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класичној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страног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тиме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поједноставио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процес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вези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датим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феноменом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шестом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насловом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Пажња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тумачење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и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употреба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језичких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јединица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260C5E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67-80),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представила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лингвисте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Тода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Оуклија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граматике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пажње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тачније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заједничке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пажње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(joint attention), </w:t>
      </w:r>
      <w:r w:rsidRPr="00E73B15">
        <w:rPr>
          <w:rFonts w:ascii="Times New Roman" w:hAnsi="Times New Roman"/>
          <w:sz w:val="24"/>
          <w:szCs w:val="24"/>
        </w:rPr>
        <w:t>истичући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његов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закључак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што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визуелно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истакнуто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постаје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граматички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релевантно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поред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описа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процеса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пажње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део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пажње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гешталт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принципа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истицања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шаре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позадину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Овај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принцип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повезала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својом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постулираном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прототипском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употребом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истакла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да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је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основна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употреба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одређеног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члана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истицање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шаре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на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различитим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позадинама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, </w:t>
      </w:r>
      <w:r w:rsidRPr="0090797E">
        <w:rPr>
          <w:rFonts w:ascii="Times New Roman" w:hAnsi="Times New Roman"/>
          <w:i/>
          <w:sz w:val="24"/>
          <w:szCs w:val="24"/>
        </w:rPr>
        <w:t>у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складу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са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говорниковим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субјективним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тумачењем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90797E">
        <w:rPr>
          <w:rFonts w:ascii="Times New Roman" w:hAnsi="Times New Roman"/>
          <w:i/>
          <w:sz w:val="24"/>
          <w:szCs w:val="24"/>
        </w:rPr>
        <w:t>ситуације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Комисија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сматра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ово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кључни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теоријски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допринос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дисертације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лингвистици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sz w:val="24"/>
          <w:szCs w:val="24"/>
        </w:rPr>
        <w:t>по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нашем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сазнању</w:t>
      </w:r>
      <w:r w:rsidRPr="00260C5E">
        <w:rPr>
          <w:rFonts w:ascii="Times New Roman" w:hAnsi="Times New Roman"/>
          <w:sz w:val="24"/>
          <w:szCs w:val="24"/>
          <w:lang w:val="sr-Latn-CS"/>
        </w:rPr>
        <w:t>, (</w:t>
      </w:r>
      <w:r>
        <w:rPr>
          <w:rFonts w:ascii="Times New Roman" w:hAnsi="Times New Roman"/>
          <w:sz w:val="24"/>
          <w:szCs w:val="24"/>
        </w:rPr>
        <w:t>релативно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</w:rPr>
        <w:t>нова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идеја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коју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детаљније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разрадити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даљем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кандидаткиње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Могућа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хипотезе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илустрована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одговарајућим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Седмо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bCs/>
          <w:sz w:val="24"/>
          <w:szCs w:val="24"/>
        </w:rPr>
        <w:t>Одлике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b/>
          <w:bCs/>
          <w:sz w:val="24"/>
          <w:szCs w:val="24"/>
        </w:rPr>
        <w:t>традиционалног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ˮ </w:t>
      </w:r>
      <w:r w:rsidRPr="00E73B15">
        <w:rPr>
          <w:rFonts w:ascii="Times New Roman" w:hAnsi="Times New Roman"/>
          <w:b/>
          <w:bCs/>
          <w:sz w:val="24"/>
          <w:szCs w:val="24"/>
        </w:rPr>
        <w:t>приступа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анализи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употребе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одређеног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члана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у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енглеском</w:t>
      </w:r>
      <w:r w:rsidRPr="00260C5E">
        <w:rPr>
          <w:rFonts w:ascii="Times New Roman" w:hAnsi="Times New Roman"/>
          <w:b/>
          <w:bCs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bCs/>
          <w:sz w:val="24"/>
          <w:szCs w:val="24"/>
        </w:rPr>
        <w:t>језику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81-92), </w:t>
      </w:r>
      <w:r w:rsidRPr="00E73B15">
        <w:rPr>
          <w:rFonts w:ascii="Times New Roman" w:hAnsi="Times New Roman"/>
          <w:sz w:val="24"/>
          <w:szCs w:val="24"/>
        </w:rPr>
        <w:t>пружа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поређење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између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алтернативна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>: „</w:t>
      </w:r>
      <w:r w:rsidRPr="00E73B15">
        <w:rPr>
          <w:rFonts w:ascii="Times New Roman" w:hAnsi="Times New Roman"/>
          <w:sz w:val="24"/>
          <w:szCs w:val="24"/>
        </w:rPr>
        <w:t>традиционалног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користи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класичној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страног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езика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когнитивистичког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дисертацији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понудила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алтернативни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адекватнији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метод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Опис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кроз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релевантне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литературе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свега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данас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класичних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Џона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Лајонса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Хадлстона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Палама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истакла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недостатке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таквог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структуралистичког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понудила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корак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унапређењу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процеса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sz w:val="24"/>
          <w:szCs w:val="24"/>
        </w:rPr>
        <w:t>реорганизацију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циљем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смањења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броја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Колегиница 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реорганизацију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спровела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складу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поставкама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повезала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менталних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простора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гешталт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принципом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истицањем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шаре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позадину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начином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Тиме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бар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дванаестак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традиционалних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свело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општија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принципа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само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једну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мета</w:t>
      </w:r>
      <w:r w:rsidRPr="00260C5E">
        <w:rPr>
          <w:rFonts w:ascii="Times New Roman" w:hAnsi="Times New Roman"/>
          <w:sz w:val="24"/>
          <w:szCs w:val="24"/>
          <w:lang w:val="sr-Latn-CS"/>
        </w:rPr>
        <w:t>-</w:t>
      </w:r>
      <w:r>
        <w:rPr>
          <w:rFonts w:ascii="Times New Roman" w:hAnsi="Times New Roman"/>
          <w:sz w:val="24"/>
          <w:szCs w:val="24"/>
        </w:rPr>
        <w:t>употребу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коју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предлаже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Осмо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називом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Когнитивистички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приступ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употреби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одређеног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члана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b/>
          <w:sz w:val="24"/>
          <w:szCs w:val="24"/>
        </w:rPr>
        <w:t>Ричард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Епстин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93-113),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Марта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почиње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краћим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постојеће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литературе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референцијалних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након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тога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Ричарда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Епстина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чине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окосницу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когнитивистичког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Епстин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радећи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менталних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простора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предложио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Pr="00E73B15">
        <w:rPr>
          <w:rFonts w:ascii="Times New Roman" w:hAnsi="Times New Roman"/>
          <w:sz w:val="24"/>
          <w:szCs w:val="24"/>
        </w:rPr>
        <w:t>истакнутост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референта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дискурсу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поделу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улогу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идентитет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прихватање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туђег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становишта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Након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детаљног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приказа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њихове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њиховој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реорганизацији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складу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предлаже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прототипску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употребу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одређеног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члана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: </w:t>
      </w:r>
      <w:r w:rsidRPr="00B00565">
        <w:rPr>
          <w:rFonts w:ascii="Times New Roman" w:hAnsi="Times New Roman"/>
          <w:i/>
          <w:sz w:val="24"/>
          <w:szCs w:val="24"/>
        </w:rPr>
        <w:t>истакнутост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референта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у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B00565">
        <w:rPr>
          <w:rFonts w:ascii="Times New Roman" w:hAnsi="Times New Roman"/>
          <w:i/>
          <w:sz w:val="24"/>
          <w:szCs w:val="24"/>
        </w:rPr>
        <w:t>дискурсу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складу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поменутом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хипотезом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пореди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когнитивистичке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доводи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везу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прототипском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Предложену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поделу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илуструје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преузетих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одговарајуће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групе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ученика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Најзначајнији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девет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Анализа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примера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датих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уџбеницима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114-133),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посветила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</w:t>
      </w:r>
      <w:r>
        <w:rPr>
          <w:rFonts w:ascii="Times New Roman" w:hAnsi="Times New Roman"/>
          <w:sz w:val="24"/>
          <w:szCs w:val="24"/>
        </w:rPr>
        <w:t>антне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Након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навођења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сваког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наведеног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понудила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алтернативно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објашњење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складу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претходно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илустрованим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когнитивистичким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илуструјући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теоријску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заснованост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савременој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Премда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класичној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корпуса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већ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истицању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занимљивих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примера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овај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сегмент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дисертације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целом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подухвату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аналитички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значај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sz w:val="24"/>
          <w:szCs w:val="24"/>
        </w:rPr>
        <w:t>Укључени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релевантне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граматике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енглеског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језика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десет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Преглед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претходних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истраживања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260C5E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133-166), </w:t>
      </w:r>
      <w:r w:rsidRPr="00E73B15">
        <w:rPr>
          <w:rFonts w:ascii="Times New Roman" w:hAnsi="Times New Roman"/>
          <w:sz w:val="24"/>
          <w:szCs w:val="24"/>
        </w:rPr>
        <w:t>представља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последље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првог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теоријског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дисертације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Након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општих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уводних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разматрања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претходним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визуелних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метода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настави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посвећеној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референцијалним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детаљно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анализира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дванаест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аутора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чији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индивидуални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доприноси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примењени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дисертацији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C95AE6" w:rsidRPr="00260C5E" w:rsidRDefault="00C95AE6" w:rsidP="003B0A4C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E73B15">
        <w:rPr>
          <w:rFonts w:ascii="Times New Roman" w:hAnsi="Times New Roman"/>
          <w:sz w:val="24"/>
          <w:szCs w:val="24"/>
        </w:rPr>
        <w:t>Други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емпиријски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дисертације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почиње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једанаест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Методологија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истраживања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0C5E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167–183),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коме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објашњава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структура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емпиријског</w:t>
      </w:r>
      <w:r>
        <w:rPr>
          <w:rFonts w:ascii="Times New Roman" w:hAnsi="Times New Roman"/>
          <w:sz w:val="24"/>
          <w:szCs w:val="24"/>
        </w:rPr>
        <w:t>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детаљан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учесника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материјала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метода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спровођења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Како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проверила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практичну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током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периода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девет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недеља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радила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88 </w:t>
      </w:r>
      <w:r w:rsidRPr="00E73B15">
        <w:rPr>
          <w:rFonts w:ascii="Times New Roman" w:hAnsi="Times New Roman"/>
          <w:sz w:val="24"/>
          <w:szCs w:val="24"/>
        </w:rPr>
        <w:t>испитаника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англистике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других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студијских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програма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) </w:t>
      </w:r>
      <w:r w:rsidRPr="00E73B15">
        <w:rPr>
          <w:rFonts w:ascii="Times New Roman" w:hAnsi="Times New Roman"/>
          <w:sz w:val="24"/>
          <w:szCs w:val="24"/>
        </w:rPr>
        <w:t>подељених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групе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зависности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тога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добијали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традиционалног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или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когнитивистичког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sz w:val="24"/>
          <w:szCs w:val="24"/>
        </w:rPr>
        <w:t>Код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традиционалне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методе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испитаницима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објашњаван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начин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типичан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класичан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рад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студентима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страног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језика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sz w:val="24"/>
          <w:szCs w:val="24"/>
        </w:rPr>
        <w:t>где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вербално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писаној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форми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објаснила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свака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десетак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онда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илустровала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одговарајућим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примерима</w:t>
      </w:r>
      <w:r w:rsidRPr="00260C5E">
        <w:rPr>
          <w:rFonts w:ascii="Times New Roman" w:hAnsi="Times New Roman"/>
          <w:sz w:val="24"/>
          <w:szCs w:val="24"/>
          <w:lang w:val="sr-Latn-CS"/>
        </w:rPr>
        <w:t>. „</w:t>
      </w:r>
      <w:r>
        <w:rPr>
          <w:rFonts w:ascii="Times New Roman" w:hAnsi="Times New Roman"/>
          <w:sz w:val="24"/>
          <w:szCs w:val="24"/>
        </w:rPr>
        <w:t>Когнитивистичка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група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друге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стране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уз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вербалне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инструкције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снимљене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виду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звучног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записа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како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било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варијација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инструкцијама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sz w:val="24"/>
          <w:szCs w:val="24"/>
        </w:rPr>
        <w:t>добијала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визуелни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тј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једноставне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анимације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којима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неким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видом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визуелног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истицања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елемената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сигнализирало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неопходна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приказ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садржаја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материјала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коришћеног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приликом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док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материјал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може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наћи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Прилогу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1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Прилогу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2 </w:t>
      </w:r>
      <w:r w:rsidRPr="00E73B15">
        <w:rPr>
          <w:rFonts w:ascii="Times New Roman" w:hAnsi="Times New Roman"/>
          <w:sz w:val="24"/>
          <w:szCs w:val="24"/>
        </w:rPr>
        <w:t>дисертације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Детаљно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приказане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главне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одлике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материјала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свега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његов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визуелни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сегмент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аудитивни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садржај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определи</w:t>
      </w:r>
      <w:r>
        <w:rPr>
          <w:rFonts w:ascii="Times New Roman" w:hAnsi="Times New Roman"/>
          <w:sz w:val="24"/>
          <w:szCs w:val="24"/>
        </w:rPr>
        <w:t>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метод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претходног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нак</w:t>
      </w:r>
      <w:r w:rsidRPr="00E73B15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r w:rsidRPr="00E73B15">
        <w:rPr>
          <w:rFonts w:ascii="Times New Roman" w:hAnsi="Times New Roman"/>
          <w:sz w:val="24"/>
          <w:szCs w:val="24"/>
        </w:rPr>
        <w:t>дног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теста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чему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испитаници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поред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завршног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накнадног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теста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недељно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имали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један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тест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непосредну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проверу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знања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завршетку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сваког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часа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упутстава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Подаци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прикупљени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приликом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подвргнути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квантитативној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статистичкој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) </w:t>
      </w:r>
      <w:r w:rsidRPr="00E73B15">
        <w:rPr>
          <w:rFonts w:ascii="Times New Roman" w:hAnsi="Times New Roman"/>
          <w:sz w:val="24"/>
          <w:szCs w:val="24"/>
        </w:rPr>
        <w:t>анализи</w:t>
      </w:r>
      <w:r w:rsidRPr="00260C5E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Дванаесто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Резултати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0C5E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184–227), </w:t>
      </w:r>
      <w:r w:rsidRPr="00E73B15">
        <w:rPr>
          <w:rFonts w:ascii="Times New Roman" w:hAnsi="Times New Roman"/>
          <w:sz w:val="24"/>
          <w:szCs w:val="24"/>
        </w:rPr>
        <w:t>пружа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преглед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постигли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како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Департмана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англистику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тако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других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студијских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програма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поређење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различитих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департмана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добијали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оквиру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приказала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четири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различите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података</w:t>
      </w:r>
      <w:r>
        <w:rPr>
          <w:rFonts w:ascii="Times New Roman" w:hAnsi="Times New Roman"/>
          <w:sz w:val="24"/>
          <w:szCs w:val="24"/>
        </w:rPr>
        <w:t>. У питању 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општи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преглед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утицаја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експерименталног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програма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; </w:t>
      </w:r>
      <w:r w:rsidRPr="005211C5">
        <w:rPr>
          <w:rFonts w:ascii="Times New Roman" w:hAnsi="Times New Roman"/>
          <w:sz w:val="24"/>
          <w:szCs w:val="24"/>
        </w:rPr>
        <w:t>употреба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изабраној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групи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испитаника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; </w:t>
      </w:r>
      <w:r w:rsidRPr="005211C5">
        <w:rPr>
          <w:rFonts w:ascii="Times New Roman" w:hAnsi="Times New Roman"/>
          <w:sz w:val="24"/>
          <w:szCs w:val="24"/>
        </w:rPr>
        <w:t>анализа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грешака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свих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чланова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енглеском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језику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; </w:t>
      </w:r>
      <w:r w:rsidRPr="005211C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анализа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постигнућа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исипитаника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тесту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везано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три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5211C5">
        <w:rPr>
          <w:rFonts w:ascii="Times New Roman" w:hAnsi="Times New Roman"/>
          <w:sz w:val="24"/>
          <w:szCs w:val="24"/>
        </w:rPr>
        <w:t>когнитивистичке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5211C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211C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Као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најзначајнији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резултат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издвајамо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чињеницу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високих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вредности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ета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коефицијента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прага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значајности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Кроз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анализу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свих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резултата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они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доследно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указали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умерен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утицај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упутстава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Другим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речима</w:t>
      </w:r>
      <w:r w:rsidRPr="00260C5E">
        <w:rPr>
          <w:rFonts w:ascii="Times New Roman" w:hAnsi="Times New Roman"/>
          <w:sz w:val="24"/>
          <w:szCs w:val="24"/>
          <w:lang w:val="sr-Latn-CS"/>
        </w:rPr>
        <w:t>, „</w:t>
      </w:r>
      <w:r>
        <w:rPr>
          <w:rFonts w:ascii="Times New Roman" w:hAnsi="Times New Roman"/>
          <w:sz w:val="24"/>
          <w:szCs w:val="24"/>
        </w:rPr>
        <w:t>когнитивистички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вид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поучавања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значајно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боље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резултате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тесту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односу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групу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која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била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изложена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додатним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инструкцијама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редовне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наставе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контрола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sz w:val="24"/>
          <w:szCs w:val="24"/>
        </w:rPr>
        <w:t>Што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тиче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односа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когнитивистичког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традиционалног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sz w:val="24"/>
          <w:szCs w:val="24"/>
        </w:rPr>
        <w:t>поучавања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резултати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варирају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зависно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конкретног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параметра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но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чини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неким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случајевима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когнитивистички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заиста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има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благу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предност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односу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традиционални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што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представља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кључан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резултат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емпиријскога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рада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којим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надамо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ће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наставити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бави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будућности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Самим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тим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тринаестом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поглављу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b/>
          <w:sz w:val="24"/>
          <w:szCs w:val="24"/>
        </w:rPr>
        <w:t>Дискусија</w:t>
      </w:r>
      <w:r w:rsidRPr="00260C5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260C5E">
        <w:rPr>
          <w:rFonts w:ascii="Times New Roman" w:hAnsi="Times New Roman"/>
          <w:sz w:val="24"/>
          <w:szCs w:val="24"/>
          <w:lang w:val="sr-Latn-CS"/>
        </w:rPr>
        <w:t>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228–250), </w:t>
      </w:r>
      <w:r w:rsidRPr="00E73B15">
        <w:rPr>
          <w:rFonts w:ascii="Times New Roman" w:hAnsi="Times New Roman"/>
          <w:sz w:val="24"/>
          <w:szCs w:val="24"/>
        </w:rPr>
        <w:t>општи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утисак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изводи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основу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статистичких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анализа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јесте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E73B15">
        <w:rPr>
          <w:rFonts w:ascii="Times New Roman" w:hAnsi="Times New Roman"/>
          <w:sz w:val="24"/>
          <w:szCs w:val="24"/>
        </w:rPr>
        <w:t>когнитивистички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 </w:t>
      </w:r>
      <w:r w:rsidRPr="00E73B15">
        <w:rPr>
          <w:rFonts w:ascii="Times New Roman" w:hAnsi="Times New Roman"/>
          <w:sz w:val="24"/>
          <w:szCs w:val="24"/>
        </w:rPr>
        <w:t>приступ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показао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успешним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Испитаници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добијали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врсте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упутстава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истиче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Величковић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постизали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боље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осталих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испитаника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Такође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визуелни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приказ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материјала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заснивао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гешталт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подели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шару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позадину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имао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значајан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утицај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које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испитаници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постигли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још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наводи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нису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очекиваној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мери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потврдили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могућност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практичне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прототипске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одређеног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члана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sz w:val="24"/>
          <w:szCs w:val="24"/>
        </w:rPr>
        <w:t>предложене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sz w:val="24"/>
          <w:szCs w:val="24"/>
        </w:rPr>
        <w:t>мета</w:t>
      </w:r>
      <w:r w:rsidRPr="00260C5E">
        <w:rPr>
          <w:rFonts w:ascii="Times New Roman" w:hAnsi="Times New Roman"/>
          <w:sz w:val="24"/>
          <w:szCs w:val="24"/>
          <w:lang w:val="sr-Latn-CS"/>
        </w:rPr>
        <w:t>-</w:t>
      </w:r>
      <w:r>
        <w:rPr>
          <w:rFonts w:ascii="Times New Roman" w:hAnsi="Times New Roman"/>
          <w:sz w:val="24"/>
          <w:szCs w:val="24"/>
        </w:rPr>
        <w:t>употребе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“), </w:t>
      </w:r>
      <w:r w:rsidRPr="00E73B15">
        <w:rPr>
          <w:rFonts w:ascii="Times New Roman" w:hAnsi="Times New Roman"/>
          <w:sz w:val="24"/>
          <w:szCs w:val="24"/>
        </w:rPr>
        <w:t>јер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упркос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потенцијалној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теоријској</w:t>
      </w:r>
      <w:r w:rsidRPr="00260C5E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експланаторној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адекватности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није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показала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сасвим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успешном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пракси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Такође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експериментални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програм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показао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>успешнијим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примеру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студената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Департмана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за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англистику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односу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остале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испитанике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укључене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b/>
          <w:sz w:val="24"/>
          <w:szCs w:val="24"/>
        </w:rPr>
        <w:t>Закључку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Pr="00E73B15">
        <w:rPr>
          <w:rFonts w:ascii="Times New Roman" w:hAnsi="Times New Roman"/>
          <w:sz w:val="24"/>
          <w:szCs w:val="24"/>
        </w:rPr>
        <w:t>стр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251–252) </w:t>
      </w:r>
      <w:r w:rsidRPr="00E73B15">
        <w:rPr>
          <w:rFonts w:ascii="Times New Roman" w:hAnsi="Times New Roman"/>
          <w:sz w:val="24"/>
          <w:szCs w:val="24"/>
        </w:rPr>
        <w:t>кандидаткиња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сумира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резултате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E73B15">
        <w:rPr>
          <w:rFonts w:ascii="Times New Roman" w:hAnsi="Times New Roman"/>
          <w:sz w:val="24"/>
          <w:szCs w:val="24"/>
        </w:rPr>
        <w:t>предлаже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могуће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правце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будућих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у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овој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области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наводи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поједине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недостатке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предложеног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начина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спровођења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3B15">
        <w:rPr>
          <w:rFonts w:ascii="Times New Roman" w:hAnsi="Times New Roman"/>
          <w:sz w:val="24"/>
          <w:szCs w:val="24"/>
        </w:rPr>
        <w:t>истраживања</w:t>
      </w:r>
      <w:r w:rsidRPr="00260C5E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C95AE6" w:rsidRPr="002950B8" w:rsidRDefault="00C95AE6" w:rsidP="00E73B1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950B8">
        <w:rPr>
          <w:rFonts w:ascii="Times New Roman" w:hAnsi="Times New Roman"/>
          <w:b/>
          <w:sz w:val="24"/>
          <w:szCs w:val="24"/>
        </w:rPr>
        <w:t>ВРЕДНОВАЊЕ ДОКТОРСКЕ ДИСЕРТАЦИЈЕ</w:t>
      </w:r>
    </w:p>
    <w:p w:rsidR="00C95AE6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Докторска дисертација под називом</w:t>
      </w:r>
      <w:r w:rsidRPr="000B4568">
        <w:rPr>
          <w:rFonts w:ascii="Times New Roman" w:hAnsi="Times New Roman"/>
          <w:i/>
          <w:sz w:val="24"/>
          <w:szCs w:val="24"/>
        </w:rPr>
        <w:t xml:space="preserve"> </w:t>
      </w:r>
      <w:r w:rsidRPr="00E73B15">
        <w:rPr>
          <w:rFonts w:ascii="Times New Roman" w:hAnsi="Times New Roman"/>
          <w:i/>
          <w:sz w:val="24"/>
          <w:szCs w:val="24"/>
        </w:rPr>
        <w:t>Употреба одређеног члана у енглеском језику</w:t>
      </w:r>
      <w:r>
        <w:rPr>
          <w:rFonts w:ascii="Times New Roman" w:hAnsi="Times New Roman"/>
          <w:i/>
          <w:sz w:val="24"/>
          <w:szCs w:val="24"/>
        </w:rPr>
        <w:t xml:space="preserve"> у теорији менталних простора: м</w:t>
      </w:r>
      <w:r w:rsidRPr="00E73B15">
        <w:rPr>
          <w:rFonts w:ascii="Times New Roman" w:hAnsi="Times New Roman"/>
          <w:i/>
          <w:sz w:val="24"/>
          <w:szCs w:val="24"/>
        </w:rPr>
        <w:t>огућност примене у настави енглеског као страног језика</w:t>
      </w:r>
      <w:r>
        <w:rPr>
          <w:rFonts w:ascii="Times New Roman" w:hAnsi="Times New Roman"/>
          <w:sz w:val="24"/>
          <w:szCs w:val="24"/>
        </w:rPr>
        <w:t>, кандидаткиње мр Марте Величковић, представља озбиљан, темељан и вредан покушај да се постулати когнитивне лингвистике примене у настави енглеског као страног језика, и то у вези са једном од најтежих наставних јединица за говорнике српског уопште. С тим у вези, д</w:t>
      </w:r>
      <w:r w:rsidRPr="00E73B15">
        <w:rPr>
          <w:rFonts w:ascii="Times New Roman" w:hAnsi="Times New Roman"/>
          <w:sz w:val="24"/>
          <w:szCs w:val="24"/>
        </w:rPr>
        <w:t xml:space="preserve">опринос </w:t>
      </w:r>
      <w:r>
        <w:rPr>
          <w:rFonts w:ascii="Times New Roman" w:hAnsi="Times New Roman"/>
          <w:sz w:val="24"/>
          <w:szCs w:val="24"/>
        </w:rPr>
        <w:t xml:space="preserve">дисертације лежи </w:t>
      </w:r>
      <w:r w:rsidRPr="00E73B15">
        <w:rPr>
          <w:rFonts w:ascii="Times New Roman" w:hAnsi="Times New Roman"/>
          <w:sz w:val="24"/>
          <w:szCs w:val="24"/>
        </w:rPr>
        <w:t xml:space="preserve">у томе што је </w:t>
      </w:r>
      <w:r>
        <w:rPr>
          <w:rFonts w:ascii="Times New Roman" w:hAnsi="Times New Roman"/>
          <w:sz w:val="24"/>
          <w:szCs w:val="24"/>
        </w:rPr>
        <w:t xml:space="preserve">кандидаткиња </w:t>
      </w:r>
      <w:r w:rsidRPr="00E73B15">
        <w:rPr>
          <w:rFonts w:ascii="Times New Roman" w:hAnsi="Times New Roman"/>
          <w:sz w:val="24"/>
          <w:szCs w:val="24"/>
        </w:rPr>
        <w:t>применила концепте когнитивне лингвистике у савременој настави енглеског језика, илуструјући њихову примену на примеру упот</w:t>
      </w:r>
      <w:r>
        <w:rPr>
          <w:rFonts w:ascii="Times New Roman" w:hAnsi="Times New Roman"/>
          <w:sz w:val="24"/>
          <w:szCs w:val="24"/>
        </w:rPr>
        <w:t xml:space="preserve">ребе одређеног члана. Ово је област </w:t>
      </w:r>
      <w:r w:rsidRPr="00E73B15">
        <w:rPr>
          <w:rFonts w:ascii="Times New Roman" w:hAnsi="Times New Roman"/>
          <w:sz w:val="24"/>
          <w:szCs w:val="24"/>
        </w:rPr>
        <w:t>о којој се на нашем подручју мало пише</w:t>
      </w:r>
      <w:r>
        <w:rPr>
          <w:rFonts w:ascii="Times New Roman" w:hAnsi="Times New Roman"/>
          <w:sz w:val="24"/>
          <w:szCs w:val="24"/>
        </w:rPr>
        <w:t>, те се надамо да ће ова дисертација подстаћи и даља истраживања у истом или сличном домену</w:t>
      </w:r>
      <w:r w:rsidRPr="00E73B15">
        <w:rPr>
          <w:rFonts w:ascii="Times New Roman" w:hAnsi="Times New Roman"/>
          <w:sz w:val="24"/>
          <w:szCs w:val="24"/>
        </w:rPr>
        <w:t xml:space="preserve">. До сада је теорија менталних простора своју практичну примену налазила у </w:t>
      </w:r>
      <w:r>
        <w:rPr>
          <w:rFonts w:ascii="Times New Roman" w:hAnsi="Times New Roman"/>
          <w:sz w:val="24"/>
          <w:szCs w:val="24"/>
        </w:rPr>
        <w:t>тзв. теорији концептуалне интеграције (</w:t>
      </w:r>
      <w:r w:rsidRPr="005A2798">
        <w:rPr>
          <w:rFonts w:ascii="Times New Roman" w:hAnsi="Times New Roman"/>
          <w:sz w:val="24"/>
          <w:szCs w:val="24"/>
        </w:rPr>
        <w:t>blending</w:t>
      </w:r>
      <w:r w:rsidRPr="0019042D">
        <w:rPr>
          <w:rFonts w:ascii="Times New Roman" w:hAnsi="Times New Roman"/>
          <w:sz w:val="24"/>
          <w:szCs w:val="24"/>
        </w:rPr>
        <w:t>)</w:t>
      </w:r>
      <w:r w:rsidRPr="00E73B1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где су се аутори пре свега бавили пост-хок анализом текстова или семантиком именовања (често укључујући и сложеније значењске феномене, као што су појмовна метафора или контрафакти). Ипак, веза између концепта менталних простора и методике наставе страних језика остала је недовољно истражена, те ова дисертација у том погледу представља значајан допринос. Сличан</w:t>
      </w:r>
      <w:r w:rsidRPr="00E73B15">
        <w:rPr>
          <w:rFonts w:ascii="Times New Roman" w:hAnsi="Times New Roman"/>
          <w:sz w:val="24"/>
          <w:szCs w:val="24"/>
        </w:rPr>
        <w:t xml:space="preserve"> закључак може се извести и за </w:t>
      </w:r>
      <w:r>
        <w:rPr>
          <w:rFonts w:ascii="Times New Roman" w:hAnsi="Times New Roman"/>
          <w:sz w:val="24"/>
          <w:szCs w:val="24"/>
        </w:rPr>
        <w:t>теорију</w:t>
      </w:r>
      <w:r w:rsidRPr="00E73B15">
        <w:rPr>
          <w:rFonts w:ascii="Times New Roman" w:hAnsi="Times New Roman"/>
          <w:sz w:val="24"/>
          <w:szCs w:val="24"/>
        </w:rPr>
        <w:t xml:space="preserve"> прототипова која је </w:t>
      </w:r>
      <w:r>
        <w:rPr>
          <w:rFonts w:ascii="Times New Roman" w:hAnsi="Times New Roman"/>
          <w:sz w:val="24"/>
          <w:szCs w:val="24"/>
        </w:rPr>
        <w:t xml:space="preserve">овде нашла </w:t>
      </w:r>
      <w:r w:rsidRPr="00E73B15">
        <w:rPr>
          <w:rFonts w:ascii="Times New Roman" w:hAnsi="Times New Roman"/>
          <w:sz w:val="24"/>
          <w:szCs w:val="24"/>
        </w:rPr>
        <w:t>примену и у области непроменљивих речи, а не само променљивих</w:t>
      </w:r>
      <w:r>
        <w:rPr>
          <w:rFonts w:ascii="Times New Roman" w:hAnsi="Times New Roman"/>
          <w:sz w:val="24"/>
          <w:szCs w:val="24"/>
        </w:rPr>
        <w:t>, што је до недавно редовно био случај</w:t>
      </w:r>
      <w:r w:rsidRPr="00E73B15">
        <w:rPr>
          <w:rFonts w:ascii="Times New Roman" w:hAnsi="Times New Roman"/>
          <w:sz w:val="24"/>
          <w:szCs w:val="24"/>
        </w:rPr>
        <w:t xml:space="preserve">. </w:t>
      </w:r>
    </w:p>
    <w:p w:rsidR="00C95AE6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76B1">
        <w:rPr>
          <w:rFonts w:ascii="Times New Roman" w:hAnsi="Times New Roman"/>
          <w:sz w:val="24"/>
          <w:szCs w:val="24"/>
        </w:rPr>
        <w:t xml:space="preserve">У дисертацији </w:t>
      </w:r>
      <w:r>
        <w:rPr>
          <w:rFonts w:ascii="Times New Roman" w:hAnsi="Times New Roman"/>
          <w:sz w:val="24"/>
          <w:szCs w:val="24"/>
        </w:rPr>
        <w:t xml:space="preserve">је, дакле, </w:t>
      </w:r>
      <w:r w:rsidRPr="00E776B1">
        <w:rPr>
          <w:rFonts w:ascii="Times New Roman" w:hAnsi="Times New Roman"/>
          <w:sz w:val="24"/>
          <w:szCs w:val="24"/>
        </w:rPr>
        <w:t xml:space="preserve">кандидаткиња покушала да наведене теоријске оквире примени и у пракси и тиме унапреди савремени наставни процес. </w:t>
      </w:r>
      <w:r>
        <w:rPr>
          <w:rFonts w:ascii="Times New Roman" w:hAnsi="Times New Roman"/>
          <w:sz w:val="24"/>
          <w:szCs w:val="24"/>
        </w:rPr>
        <w:t xml:space="preserve">Покушај је био углавном успешан и изнедрио је занимљиве експерименталне резултате. Премда многе од предложених теоријских веза остају хипотетичке, где рад на тренутке уводи претерано еклектички епистемолошки приступ, а сам централни теоријски конструкт - јединствена прототипска „мета-употреба“ одређеног члана базирана на идеји „проминентности у дискурсу“ и даље чека емпиријску потврду, дисертација колегинице Величковић представља вредан допринос науци о језику. Закључци рада ће, надамо се, навести многобројне колеге, наставнике енглеског, да размисле о увођењу нових метода у наставне јединице које се баве члановима, где приступ који колегиница Величковић назива „когнитивистичким“ може заузети значајно место. </w:t>
      </w:r>
    </w:p>
    <w:p w:rsidR="00C95AE6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Default="00C95AE6" w:rsidP="00E73B1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217F3">
        <w:rPr>
          <w:rFonts w:ascii="Times New Roman" w:hAnsi="Times New Roman"/>
          <w:b/>
          <w:sz w:val="24"/>
          <w:szCs w:val="24"/>
        </w:rPr>
        <w:t>ЗАКЉУЧАК</w:t>
      </w:r>
    </w:p>
    <w:p w:rsidR="00C95AE6" w:rsidRPr="00ED29A1" w:rsidRDefault="00C95AE6" w:rsidP="00E73B1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основу горње анализе, Комисија констатује да се ради о дисертацији која је солидно дефинисана, добро теоријски утемељена, одлично експериментално реализована, те која је изнедрила више резултата значајних за наставу енглеског језика код нас.  Предложени приступ је оригиналан и представља новину и за многе истраживаче ван наше земље. У том смислу, Комисија сматра да дисертација задовољава предвиђене стандарде, те са задовољством предлаже Наставно-научном већу Филозофског факултета да </w:t>
      </w:r>
      <w:r>
        <w:rPr>
          <w:rFonts w:ascii="Times New Roman" w:hAnsi="Times New Roman"/>
          <w:i/>
          <w:sz w:val="24"/>
          <w:szCs w:val="24"/>
        </w:rPr>
        <w:t xml:space="preserve">прихвати овај Извештај </w:t>
      </w:r>
      <w:r>
        <w:rPr>
          <w:rFonts w:ascii="Times New Roman" w:hAnsi="Times New Roman"/>
          <w:sz w:val="24"/>
          <w:szCs w:val="24"/>
        </w:rPr>
        <w:t xml:space="preserve">и омогући кандидаткињи мр Марти Величковић јавну одбрану дисертације. 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Нишу / Новом Саду,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КОМИСИЈА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јула 2016. године 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др Михаило Антовић, ванредни професор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Филозофског факултета у Нишу, ментор 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др Ђорђе Видановић, редовни професор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Филозофског факултета у Нишу</w:t>
      </w: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Pr="00BB1D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95AE6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др Биљана Радић Бојанић, ванредни професор</w:t>
      </w:r>
    </w:p>
    <w:p w:rsidR="00C95AE6" w:rsidRPr="00ED29A1" w:rsidRDefault="00C95AE6" w:rsidP="00B217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Филозофског факултета у Новом Саду</w:t>
      </w:r>
    </w:p>
    <w:sectPr w:rsidR="00C95AE6" w:rsidRPr="00ED29A1" w:rsidSect="00C535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AE6" w:rsidRDefault="00C95AE6" w:rsidP="00D17AF2">
      <w:pPr>
        <w:spacing w:after="0" w:line="240" w:lineRule="auto"/>
      </w:pPr>
      <w:r>
        <w:separator/>
      </w:r>
    </w:p>
  </w:endnote>
  <w:endnote w:type="continuationSeparator" w:id="0">
    <w:p w:rsidR="00C95AE6" w:rsidRDefault="00C95AE6" w:rsidP="00D17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TimesRoman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AE6" w:rsidRDefault="00C95AE6">
    <w:pPr>
      <w:pStyle w:val="Footer"/>
      <w:jc w:val="right"/>
    </w:pPr>
    <w:fldSimple w:instr=" PAGE   \* MERGEFORMAT ">
      <w:r>
        <w:rPr>
          <w:noProof/>
        </w:rPr>
        <w:t>10</w:t>
      </w:r>
    </w:fldSimple>
  </w:p>
  <w:p w:rsidR="00C95AE6" w:rsidRDefault="00C95A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AE6" w:rsidRDefault="00C95AE6" w:rsidP="00D17AF2">
      <w:pPr>
        <w:spacing w:after="0" w:line="240" w:lineRule="auto"/>
      </w:pPr>
      <w:r>
        <w:separator/>
      </w:r>
    </w:p>
  </w:footnote>
  <w:footnote w:type="continuationSeparator" w:id="0">
    <w:p w:rsidR="00C95AE6" w:rsidRDefault="00C95AE6" w:rsidP="00D17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9EA"/>
    <w:rsid w:val="00004593"/>
    <w:rsid w:val="00010635"/>
    <w:rsid w:val="00021ECE"/>
    <w:rsid w:val="00047C83"/>
    <w:rsid w:val="00050D16"/>
    <w:rsid w:val="00051D7A"/>
    <w:rsid w:val="000916B9"/>
    <w:rsid w:val="000B25DB"/>
    <w:rsid w:val="000B4568"/>
    <w:rsid w:val="000B60DB"/>
    <w:rsid w:val="000C1671"/>
    <w:rsid w:val="000D4B8A"/>
    <w:rsid w:val="001017CA"/>
    <w:rsid w:val="00107AF6"/>
    <w:rsid w:val="0012212E"/>
    <w:rsid w:val="00135095"/>
    <w:rsid w:val="001375AD"/>
    <w:rsid w:val="001432B7"/>
    <w:rsid w:val="00152B0E"/>
    <w:rsid w:val="001638EB"/>
    <w:rsid w:val="00165499"/>
    <w:rsid w:val="001867D4"/>
    <w:rsid w:val="0019042D"/>
    <w:rsid w:val="001A3217"/>
    <w:rsid w:val="001A35AF"/>
    <w:rsid w:val="001D1D69"/>
    <w:rsid w:val="001D4662"/>
    <w:rsid w:val="002023F0"/>
    <w:rsid w:val="00220C53"/>
    <w:rsid w:val="00233E20"/>
    <w:rsid w:val="00242A81"/>
    <w:rsid w:val="00260C5E"/>
    <w:rsid w:val="00261021"/>
    <w:rsid w:val="00293F40"/>
    <w:rsid w:val="002950B8"/>
    <w:rsid w:val="00297659"/>
    <w:rsid w:val="002B2429"/>
    <w:rsid w:val="002B51BD"/>
    <w:rsid w:val="002C532F"/>
    <w:rsid w:val="002F593D"/>
    <w:rsid w:val="002F732D"/>
    <w:rsid w:val="0035204E"/>
    <w:rsid w:val="0035208A"/>
    <w:rsid w:val="00360F9F"/>
    <w:rsid w:val="00363F89"/>
    <w:rsid w:val="00376EF0"/>
    <w:rsid w:val="00382AB5"/>
    <w:rsid w:val="00394602"/>
    <w:rsid w:val="00394FE5"/>
    <w:rsid w:val="003A1EE9"/>
    <w:rsid w:val="003B0A4C"/>
    <w:rsid w:val="003C05F8"/>
    <w:rsid w:val="003E1F9F"/>
    <w:rsid w:val="003F766E"/>
    <w:rsid w:val="00404196"/>
    <w:rsid w:val="00404702"/>
    <w:rsid w:val="004151FA"/>
    <w:rsid w:val="00424F59"/>
    <w:rsid w:val="004440B7"/>
    <w:rsid w:val="0045135D"/>
    <w:rsid w:val="00461CD1"/>
    <w:rsid w:val="0047408E"/>
    <w:rsid w:val="00494AB0"/>
    <w:rsid w:val="004B29E3"/>
    <w:rsid w:val="004E11DE"/>
    <w:rsid w:val="004F77CC"/>
    <w:rsid w:val="00501FCD"/>
    <w:rsid w:val="005148D3"/>
    <w:rsid w:val="00520C72"/>
    <w:rsid w:val="005211C5"/>
    <w:rsid w:val="00523851"/>
    <w:rsid w:val="0053073D"/>
    <w:rsid w:val="00553630"/>
    <w:rsid w:val="005610F8"/>
    <w:rsid w:val="005709FE"/>
    <w:rsid w:val="00577714"/>
    <w:rsid w:val="00585160"/>
    <w:rsid w:val="005A2798"/>
    <w:rsid w:val="005C5D01"/>
    <w:rsid w:val="005D1B84"/>
    <w:rsid w:val="00613165"/>
    <w:rsid w:val="0063130A"/>
    <w:rsid w:val="006422CA"/>
    <w:rsid w:val="006441A0"/>
    <w:rsid w:val="00645F9A"/>
    <w:rsid w:val="0066796D"/>
    <w:rsid w:val="006A41E4"/>
    <w:rsid w:val="006B407D"/>
    <w:rsid w:val="006B74F7"/>
    <w:rsid w:val="006D62EF"/>
    <w:rsid w:val="007333EF"/>
    <w:rsid w:val="00743DC7"/>
    <w:rsid w:val="00744D47"/>
    <w:rsid w:val="00762C56"/>
    <w:rsid w:val="00764BD5"/>
    <w:rsid w:val="00776CA0"/>
    <w:rsid w:val="00784948"/>
    <w:rsid w:val="00785D25"/>
    <w:rsid w:val="00796570"/>
    <w:rsid w:val="007C7916"/>
    <w:rsid w:val="007F0F9F"/>
    <w:rsid w:val="00804295"/>
    <w:rsid w:val="00806629"/>
    <w:rsid w:val="0083036F"/>
    <w:rsid w:val="00842045"/>
    <w:rsid w:val="00851DD1"/>
    <w:rsid w:val="008528A6"/>
    <w:rsid w:val="008554BD"/>
    <w:rsid w:val="00861E66"/>
    <w:rsid w:val="00867AE8"/>
    <w:rsid w:val="00894739"/>
    <w:rsid w:val="00897AE6"/>
    <w:rsid w:val="008A7906"/>
    <w:rsid w:val="008B7F93"/>
    <w:rsid w:val="008E2AA0"/>
    <w:rsid w:val="008E2C39"/>
    <w:rsid w:val="008E2F72"/>
    <w:rsid w:val="008F1115"/>
    <w:rsid w:val="0090797E"/>
    <w:rsid w:val="00960AD6"/>
    <w:rsid w:val="00972E9B"/>
    <w:rsid w:val="009A1437"/>
    <w:rsid w:val="009A376E"/>
    <w:rsid w:val="009C0EA4"/>
    <w:rsid w:val="009C399E"/>
    <w:rsid w:val="009D169E"/>
    <w:rsid w:val="009D279D"/>
    <w:rsid w:val="009F0814"/>
    <w:rsid w:val="009F43C3"/>
    <w:rsid w:val="00A1086D"/>
    <w:rsid w:val="00A13797"/>
    <w:rsid w:val="00A17C29"/>
    <w:rsid w:val="00A22A49"/>
    <w:rsid w:val="00A34BDD"/>
    <w:rsid w:val="00A379E7"/>
    <w:rsid w:val="00A4114C"/>
    <w:rsid w:val="00A4531B"/>
    <w:rsid w:val="00A6095E"/>
    <w:rsid w:val="00A76E4B"/>
    <w:rsid w:val="00A9655D"/>
    <w:rsid w:val="00AB083A"/>
    <w:rsid w:val="00AB5154"/>
    <w:rsid w:val="00AD4633"/>
    <w:rsid w:val="00B00565"/>
    <w:rsid w:val="00B0056E"/>
    <w:rsid w:val="00B14EDF"/>
    <w:rsid w:val="00B217F3"/>
    <w:rsid w:val="00B3161A"/>
    <w:rsid w:val="00B34753"/>
    <w:rsid w:val="00B47662"/>
    <w:rsid w:val="00B6227A"/>
    <w:rsid w:val="00B86303"/>
    <w:rsid w:val="00BA1DB8"/>
    <w:rsid w:val="00BB1DE6"/>
    <w:rsid w:val="00BE0FAF"/>
    <w:rsid w:val="00BE56F0"/>
    <w:rsid w:val="00C22349"/>
    <w:rsid w:val="00C43CB5"/>
    <w:rsid w:val="00C5355C"/>
    <w:rsid w:val="00C571FE"/>
    <w:rsid w:val="00C6317A"/>
    <w:rsid w:val="00C63188"/>
    <w:rsid w:val="00C63971"/>
    <w:rsid w:val="00C779EA"/>
    <w:rsid w:val="00C95AA7"/>
    <w:rsid w:val="00C95AE6"/>
    <w:rsid w:val="00CA13C1"/>
    <w:rsid w:val="00CA3813"/>
    <w:rsid w:val="00CE3D80"/>
    <w:rsid w:val="00CE4F59"/>
    <w:rsid w:val="00D17AF2"/>
    <w:rsid w:val="00D24BA4"/>
    <w:rsid w:val="00D70351"/>
    <w:rsid w:val="00D84A06"/>
    <w:rsid w:val="00DB2322"/>
    <w:rsid w:val="00DB5A65"/>
    <w:rsid w:val="00E01719"/>
    <w:rsid w:val="00E10ABE"/>
    <w:rsid w:val="00E12941"/>
    <w:rsid w:val="00E27238"/>
    <w:rsid w:val="00E30C40"/>
    <w:rsid w:val="00E365D4"/>
    <w:rsid w:val="00E37D30"/>
    <w:rsid w:val="00E41E2C"/>
    <w:rsid w:val="00E5557B"/>
    <w:rsid w:val="00E6342F"/>
    <w:rsid w:val="00E64BA7"/>
    <w:rsid w:val="00E73B15"/>
    <w:rsid w:val="00E73BA7"/>
    <w:rsid w:val="00E776B1"/>
    <w:rsid w:val="00E969B1"/>
    <w:rsid w:val="00ED29A1"/>
    <w:rsid w:val="00EE46AC"/>
    <w:rsid w:val="00EF3439"/>
    <w:rsid w:val="00F14C58"/>
    <w:rsid w:val="00F1715B"/>
    <w:rsid w:val="00F26290"/>
    <w:rsid w:val="00F3688A"/>
    <w:rsid w:val="00F370B4"/>
    <w:rsid w:val="00F509BF"/>
    <w:rsid w:val="00F74040"/>
    <w:rsid w:val="00F74AA3"/>
    <w:rsid w:val="00FB4037"/>
    <w:rsid w:val="00FB4E00"/>
    <w:rsid w:val="00FB74E0"/>
    <w:rsid w:val="00FE1AC4"/>
    <w:rsid w:val="00FE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5C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779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D17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7AF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7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7AF2"/>
    <w:rPr>
      <w:rFonts w:cs="Times New Roman"/>
    </w:rPr>
  </w:style>
  <w:style w:type="paragraph" w:customStyle="1" w:styleId="centar">
    <w:name w:val="centar"/>
    <w:basedOn w:val="Normal"/>
    <w:next w:val="Normal"/>
    <w:uiPriority w:val="99"/>
    <w:rsid w:val="00376EF0"/>
    <w:p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CTimesRoman" w:eastAsia="Times New Roman" w:hAnsi="CTimesRoman"/>
      <w:sz w:val="24"/>
      <w:szCs w:val="20"/>
    </w:rPr>
  </w:style>
  <w:style w:type="paragraph" w:customStyle="1" w:styleId="Char">
    <w:name w:val="Char"/>
    <w:basedOn w:val="Normal"/>
    <w:uiPriority w:val="99"/>
    <w:rsid w:val="00376EF0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3321</Words>
  <Characters>18935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ВЕЋУ ДЕПАРТМАНА ЗА АНГЛИСТИКУ</dc:title>
  <dc:subject/>
  <dc:creator>Marta Dimitrijevic</dc:creator>
  <cp:keywords/>
  <dc:description/>
  <cp:lastModifiedBy>rc</cp:lastModifiedBy>
  <cp:revision>2</cp:revision>
  <dcterms:created xsi:type="dcterms:W3CDTF">2016-07-20T09:30:00Z</dcterms:created>
  <dcterms:modified xsi:type="dcterms:W3CDTF">2016-07-20T09:30:00Z</dcterms:modified>
</cp:coreProperties>
</file>