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E1459" w14:textId="77777777" w:rsidR="00777226" w:rsidRPr="00E60932" w:rsidRDefault="0077337D">
      <w:pPr>
        <w:rPr>
          <w:sz w:val="24"/>
          <w:szCs w:val="24"/>
        </w:rPr>
      </w:pPr>
      <w:r w:rsidRPr="00E60932">
        <w:rPr>
          <w:b/>
          <w:sz w:val="24"/>
          <w:szCs w:val="24"/>
        </w:rPr>
        <w:t xml:space="preserve">Табела 5.2 </w:t>
      </w:r>
      <w:r w:rsidRPr="00E60932">
        <w:rPr>
          <w:sz w:val="24"/>
          <w:szCs w:val="24"/>
        </w:rPr>
        <w:t xml:space="preserve">Спецификација  предмета 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33"/>
        <w:gridCol w:w="630"/>
        <w:gridCol w:w="1265"/>
        <w:gridCol w:w="1255"/>
        <w:gridCol w:w="2000"/>
        <w:gridCol w:w="1271"/>
      </w:tblGrid>
      <w:tr w:rsidR="009B3E77" w:rsidRPr="00E60932" w14:paraId="4D1AEAFF" w14:textId="77777777" w:rsidTr="004A60F9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F8841" w14:textId="291F32A9" w:rsidR="009B3E77" w:rsidRPr="00E60932" w:rsidRDefault="009B3E77" w:rsidP="009B3E77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  <w:lang w:val="sr-Cyrl-RS"/>
              </w:rPr>
            </w:pPr>
            <w:r w:rsidRPr="00E60932">
              <w:rPr>
                <w:b/>
                <w:sz w:val="24"/>
                <w:szCs w:val="24"/>
              </w:rPr>
              <w:t xml:space="preserve">Студијски програм : </w:t>
            </w:r>
            <w:r w:rsidRPr="00E60932">
              <w:rPr>
                <w:sz w:val="24"/>
                <w:szCs w:val="24"/>
              </w:rPr>
              <w:t>Основне</w:t>
            </w:r>
            <w:r w:rsidRPr="00E60932">
              <w:rPr>
                <w:b/>
                <w:sz w:val="24"/>
                <w:szCs w:val="24"/>
              </w:rPr>
              <w:t xml:space="preserve"> </w:t>
            </w:r>
            <w:r w:rsidRPr="00E60932">
              <w:rPr>
                <w:sz w:val="24"/>
                <w:szCs w:val="24"/>
              </w:rPr>
              <w:t>академске студије немачког језика и књижевности</w:t>
            </w:r>
          </w:p>
        </w:tc>
      </w:tr>
      <w:tr w:rsidR="009B3E77" w:rsidRPr="00E60932" w14:paraId="72BE49EF" w14:textId="77777777" w:rsidTr="004A60F9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0DCAA" w14:textId="2DE8871F" w:rsidR="009B3E77" w:rsidRPr="00E60932" w:rsidRDefault="009B3E77" w:rsidP="009B3E77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 xml:space="preserve">Назив предмета: </w:t>
            </w:r>
            <w:r w:rsidRPr="00E60932">
              <w:rPr>
                <w:sz w:val="24"/>
                <w:szCs w:val="24"/>
              </w:rPr>
              <w:t xml:space="preserve">Енглески језик </w:t>
            </w:r>
            <w:r w:rsidR="00CF5A5A" w:rsidRPr="00E60932">
              <w:rPr>
                <w:sz w:val="24"/>
                <w:szCs w:val="24"/>
                <w:lang w:val="sr-Cyrl-RS"/>
              </w:rPr>
              <w:t>Ц1</w:t>
            </w:r>
            <w:r w:rsidRPr="00E60932">
              <w:rPr>
                <w:sz w:val="24"/>
                <w:szCs w:val="24"/>
              </w:rPr>
              <w:t>.1.</w:t>
            </w:r>
          </w:p>
        </w:tc>
      </w:tr>
      <w:tr w:rsidR="009B3E77" w:rsidRPr="00E60932" w14:paraId="444485EA" w14:textId="77777777" w:rsidTr="004A60F9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75069" w14:textId="61145CA3" w:rsidR="009B3E77" w:rsidRPr="00E60932" w:rsidRDefault="009B3E77" w:rsidP="009B3E77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 xml:space="preserve">Наставник/наставници: </w:t>
            </w:r>
            <w:r w:rsidRPr="00E60932">
              <w:rPr>
                <w:sz w:val="24"/>
                <w:szCs w:val="24"/>
              </w:rPr>
              <w:t>Јасмина П. Ђорђевић</w:t>
            </w:r>
          </w:p>
        </w:tc>
      </w:tr>
      <w:tr w:rsidR="009B3E77" w:rsidRPr="00E60932" w14:paraId="0390E289" w14:textId="77777777" w:rsidTr="004A60F9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23D93" w14:textId="66989FE9" w:rsidR="009B3E77" w:rsidRPr="00E60932" w:rsidRDefault="009B3E77" w:rsidP="009B3E77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 xml:space="preserve">Статус предмета: </w:t>
            </w:r>
            <w:r w:rsidRPr="00E60932">
              <w:rPr>
                <w:sz w:val="24"/>
                <w:szCs w:val="24"/>
              </w:rPr>
              <w:t xml:space="preserve">Изборни </w:t>
            </w:r>
          </w:p>
        </w:tc>
      </w:tr>
      <w:tr w:rsidR="009B3E77" w:rsidRPr="00E60932" w14:paraId="43C02381" w14:textId="77777777" w:rsidTr="004A60F9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F42BC" w14:textId="6FBAE6DA" w:rsidR="009B3E77" w:rsidRPr="00E60932" w:rsidRDefault="009B3E77" w:rsidP="009B3E77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 xml:space="preserve">Број ЕСПБ: </w:t>
            </w:r>
            <w:r w:rsidRPr="00E60932">
              <w:rPr>
                <w:sz w:val="24"/>
                <w:szCs w:val="24"/>
              </w:rPr>
              <w:t>4</w:t>
            </w:r>
          </w:p>
        </w:tc>
      </w:tr>
      <w:tr w:rsidR="009B3E77" w:rsidRPr="00E60932" w14:paraId="629EBBBF" w14:textId="77777777" w:rsidTr="004A60F9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ED358" w14:textId="116E1222" w:rsidR="009B3E77" w:rsidRPr="00E60932" w:rsidRDefault="009B3E77" w:rsidP="009B3E77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  <w:lang w:val="sr-Cyrl-RS"/>
              </w:rPr>
            </w:pPr>
            <w:r w:rsidRPr="00E60932">
              <w:rPr>
                <w:b/>
                <w:sz w:val="24"/>
                <w:szCs w:val="24"/>
              </w:rPr>
              <w:t xml:space="preserve">Услов: </w:t>
            </w:r>
            <w:r w:rsidRPr="00E60932">
              <w:rPr>
                <w:sz w:val="24"/>
                <w:szCs w:val="24"/>
              </w:rPr>
              <w:t>Нема</w:t>
            </w:r>
          </w:p>
        </w:tc>
      </w:tr>
      <w:tr w:rsidR="00777226" w:rsidRPr="00E60932" w14:paraId="0D8B2553" w14:textId="77777777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73FC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jc w:val="both"/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 xml:space="preserve">Циљ предмета: </w:t>
            </w:r>
            <w:r w:rsidRPr="00E60932">
              <w:rPr>
                <w:sz w:val="24"/>
                <w:szCs w:val="24"/>
              </w:rPr>
              <w:t>Развијање вештина разумевања,читања,говора и писања на енглеском језику, продубљеније изучавање комплексних граматичких структура,упознавање са различитим функционалним стиловима, превођење текстова струке, обогаћивање речника</w:t>
            </w:r>
          </w:p>
          <w:p w14:paraId="468F9670" w14:textId="77777777" w:rsidR="00777226" w:rsidRPr="00E60932" w:rsidRDefault="00777226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</w:p>
        </w:tc>
      </w:tr>
      <w:tr w:rsidR="00777226" w:rsidRPr="00E60932" w14:paraId="41A76337" w14:textId="77777777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3AE0" w14:textId="654AE6F7" w:rsidR="00777226" w:rsidRPr="00E60932" w:rsidRDefault="0077337D" w:rsidP="0080063C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 xml:space="preserve">Исход предмета: </w:t>
            </w:r>
            <w:r w:rsidRPr="00E60932">
              <w:rPr>
                <w:sz w:val="24"/>
                <w:szCs w:val="24"/>
              </w:rPr>
              <w:t>Оспособљава</w:t>
            </w:r>
            <w:r w:rsidRPr="00E60932">
              <w:rPr>
                <w:sz w:val="24"/>
                <w:szCs w:val="24"/>
              </w:rPr>
              <w:t>ње студената за самостално сналажење у енглеском језику говорног и писаног медијума.</w:t>
            </w:r>
          </w:p>
        </w:tc>
      </w:tr>
      <w:tr w:rsidR="00777226" w:rsidRPr="00E60932" w14:paraId="15249464" w14:textId="77777777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0587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>Садржај предмета</w:t>
            </w:r>
          </w:p>
          <w:p w14:paraId="0F5EF000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jc w:val="both"/>
              <w:rPr>
                <w:sz w:val="24"/>
                <w:szCs w:val="24"/>
              </w:rPr>
            </w:pPr>
            <w:r w:rsidRPr="00E60932">
              <w:rPr>
                <w:i/>
                <w:sz w:val="24"/>
                <w:szCs w:val="24"/>
              </w:rPr>
              <w:t xml:space="preserve">Теоријска настава: </w:t>
            </w:r>
            <w:r w:rsidRPr="00E60932">
              <w:rPr>
                <w:sz w:val="24"/>
                <w:szCs w:val="24"/>
              </w:rPr>
              <w:t>1. Аvoiding repetition, reduced infinitives, synonyms in context, 2. Describing nationalities, British and American Englsih 3. Formal</w:t>
            </w:r>
            <w:r w:rsidRPr="00E60932">
              <w:rPr>
                <w:sz w:val="24"/>
                <w:szCs w:val="24"/>
              </w:rPr>
              <w:t xml:space="preserve"> and Informal letters 4. Revision of verb forms,  Phrasal verbs (the language of metaphor)  5. Text analysis  6. Using a monolingual dictionary:the organization of a dictionary entry 7. Translation principles and techniques  8. Adverbs with two forms, adve</w:t>
            </w:r>
            <w:r w:rsidRPr="00E60932">
              <w:rPr>
                <w:sz w:val="24"/>
                <w:szCs w:val="24"/>
              </w:rPr>
              <w:t>rb collocation  9. Paragraph writing (descriptive) 10.  Synonyms and antonyms , Text analysis and translation , 11. Discourse Markers, Conducting an interview 12. Text analysis, discussion (the language of proverbs and poetry)  13. Ways of adding emphasis,</w:t>
            </w:r>
            <w:r w:rsidRPr="00E60932">
              <w:rPr>
                <w:sz w:val="24"/>
                <w:szCs w:val="24"/>
              </w:rPr>
              <w:t xml:space="preserve">  essay writing (comparing and contrasting)  14. Ways of distancing the facts, passive constructions with infinitive 15.  Phrasal Verbs ( nominalized forms), Composition (argumentative)  </w:t>
            </w:r>
          </w:p>
          <w:p w14:paraId="1A7CBB4A" w14:textId="77777777" w:rsidR="0080063C" w:rsidRPr="0080063C" w:rsidRDefault="0080063C" w:rsidP="0080063C">
            <w:pPr>
              <w:tabs>
                <w:tab w:val="center" w:pos="4320"/>
                <w:tab w:val="right" w:pos="8640"/>
              </w:tabs>
              <w:jc w:val="both"/>
              <w:rPr>
                <w:i/>
                <w:sz w:val="24"/>
                <w:szCs w:val="24"/>
              </w:rPr>
            </w:pPr>
            <w:r w:rsidRPr="0080063C">
              <w:rPr>
                <w:i/>
                <w:sz w:val="24"/>
                <w:szCs w:val="24"/>
              </w:rPr>
              <w:t xml:space="preserve">Практична настава </w:t>
            </w:r>
          </w:p>
          <w:p w14:paraId="0BCEBC90" w14:textId="3E29D130" w:rsidR="00777226" w:rsidRPr="0080063C" w:rsidRDefault="0080063C" w:rsidP="0080063C">
            <w:pPr>
              <w:tabs>
                <w:tab w:val="center" w:pos="4320"/>
                <w:tab w:val="right" w:pos="8640"/>
              </w:tabs>
              <w:rPr>
                <w:iCs/>
                <w:sz w:val="24"/>
                <w:szCs w:val="24"/>
              </w:rPr>
            </w:pPr>
            <w:r w:rsidRPr="0080063C">
              <w:rPr>
                <w:iCs/>
                <w:sz w:val="24"/>
                <w:szCs w:val="24"/>
              </w:rPr>
              <w:t>Читање и превод текстова, разговор о тексту, пројектни рад (рад у групама), комуникација (рад у паровима), дискусије (рад у групи), писање неформалних и формалних писама и мејлова, нарација, биографија и писање описа људи, места и предмета.</w:t>
            </w:r>
          </w:p>
        </w:tc>
      </w:tr>
      <w:tr w:rsidR="00777226" w:rsidRPr="00E60932" w14:paraId="0D119836" w14:textId="77777777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D7D05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</w:rPr>
            </w:pPr>
            <w:r w:rsidRPr="00E60932">
              <w:rPr>
                <w:bCs/>
                <w:sz w:val="24"/>
                <w:szCs w:val="24"/>
              </w:rPr>
              <w:t xml:space="preserve">Литература </w:t>
            </w:r>
          </w:p>
          <w:p w14:paraId="06CB01AF" w14:textId="7AA90347" w:rsidR="00E60932" w:rsidRPr="00E60932" w:rsidRDefault="0077337D" w:rsidP="00E60932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E60932">
              <w:rPr>
                <w:bCs/>
                <w:sz w:val="24"/>
                <w:szCs w:val="24"/>
              </w:rPr>
              <w:t xml:space="preserve">1. </w:t>
            </w:r>
            <w:r w:rsidR="00E60932" w:rsidRPr="00E60932">
              <w:rPr>
                <w:sz w:val="24"/>
                <w:szCs w:val="24"/>
              </w:rPr>
              <w:t xml:space="preserve">Soars, L., &amp; Soars, J. </w:t>
            </w:r>
            <w:r w:rsidR="00E60932" w:rsidRPr="00E60932">
              <w:rPr>
                <w:i/>
                <w:sz w:val="24"/>
                <w:szCs w:val="24"/>
              </w:rPr>
              <w:t xml:space="preserve">New Headway - </w:t>
            </w:r>
            <w:r w:rsidR="00E60932" w:rsidRPr="00E60932">
              <w:rPr>
                <w:i/>
                <w:sz w:val="24"/>
                <w:szCs w:val="24"/>
                <w:lang w:val="sr-Latn-RS"/>
              </w:rPr>
              <w:t>Advanced</w:t>
            </w:r>
            <w:r w:rsidR="00E60932" w:rsidRPr="00E60932">
              <w:rPr>
                <w:i/>
                <w:sz w:val="24"/>
                <w:szCs w:val="24"/>
              </w:rPr>
              <w:t xml:space="preserve">. </w:t>
            </w:r>
            <w:r w:rsidR="00E60932" w:rsidRPr="00E60932">
              <w:rPr>
                <w:sz w:val="24"/>
                <w:szCs w:val="24"/>
              </w:rPr>
              <w:t>4</w:t>
            </w:r>
            <w:r w:rsidR="00E60932" w:rsidRPr="00E60932">
              <w:rPr>
                <w:sz w:val="24"/>
                <w:szCs w:val="24"/>
                <w:vertAlign w:val="superscript"/>
              </w:rPr>
              <w:t>th</w:t>
            </w:r>
            <w:r w:rsidR="00E60932" w:rsidRPr="00E60932">
              <w:rPr>
                <w:sz w:val="24"/>
                <w:szCs w:val="24"/>
              </w:rPr>
              <w:t xml:space="preserve"> edition</w:t>
            </w:r>
            <w:r w:rsidR="00E37B93">
              <w:rPr>
                <w:sz w:val="24"/>
                <w:szCs w:val="24"/>
                <w:lang w:val="sr-Latn-RS"/>
              </w:rPr>
              <w:t>.</w:t>
            </w:r>
            <w:r w:rsidR="00E60932" w:rsidRPr="00E60932">
              <w:rPr>
                <w:sz w:val="24"/>
                <w:szCs w:val="24"/>
              </w:rPr>
              <w:t xml:space="preserve"> Oxford University Press. Student’s book</w:t>
            </w:r>
          </w:p>
          <w:p w14:paraId="350C4B2D" w14:textId="3106562E" w:rsidR="00E60932" w:rsidRPr="00E60932" w:rsidRDefault="00E60932" w:rsidP="00E60932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E60932">
              <w:rPr>
                <w:sz w:val="24"/>
                <w:szCs w:val="24"/>
              </w:rPr>
              <w:t xml:space="preserve">2. Soars, L., &amp; Soars, J. </w:t>
            </w:r>
            <w:r w:rsidRPr="00E60932">
              <w:rPr>
                <w:i/>
                <w:sz w:val="24"/>
                <w:szCs w:val="24"/>
              </w:rPr>
              <w:t xml:space="preserve">New Headway - </w:t>
            </w:r>
            <w:r w:rsidRPr="00E60932">
              <w:rPr>
                <w:i/>
                <w:sz w:val="24"/>
                <w:szCs w:val="24"/>
                <w:lang w:val="sr-Latn-RS"/>
              </w:rPr>
              <w:t>Advanced</w:t>
            </w:r>
            <w:r w:rsidRPr="00E60932">
              <w:rPr>
                <w:i/>
                <w:sz w:val="24"/>
                <w:szCs w:val="24"/>
              </w:rPr>
              <w:t xml:space="preserve">. </w:t>
            </w:r>
            <w:r w:rsidRPr="00E60932">
              <w:rPr>
                <w:sz w:val="24"/>
                <w:szCs w:val="24"/>
              </w:rPr>
              <w:t>4</w:t>
            </w:r>
            <w:r w:rsidRPr="00E60932">
              <w:rPr>
                <w:sz w:val="24"/>
                <w:szCs w:val="24"/>
                <w:vertAlign w:val="superscript"/>
              </w:rPr>
              <w:t>th</w:t>
            </w:r>
            <w:r w:rsidRPr="00E60932">
              <w:rPr>
                <w:sz w:val="24"/>
                <w:szCs w:val="24"/>
              </w:rPr>
              <w:t xml:space="preserve"> edition</w:t>
            </w:r>
            <w:r w:rsidR="00E37B93">
              <w:rPr>
                <w:sz w:val="24"/>
                <w:szCs w:val="24"/>
                <w:lang w:val="sr-Latn-RS"/>
              </w:rPr>
              <w:t>.</w:t>
            </w:r>
            <w:r w:rsidRPr="00E60932">
              <w:rPr>
                <w:sz w:val="24"/>
                <w:szCs w:val="24"/>
              </w:rPr>
              <w:t>Oxford University Press. Workbook</w:t>
            </w:r>
          </w:p>
          <w:p w14:paraId="33ACC475" w14:textId="77777777" w:rsidR="00E60932" w:rsidRPr="00E60932" w:rsidRDefault="00E60932" w:rsidP="00E60932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E60932">
              <w:rPr>
                <w:sz w:val="24"/>
                <w:szCs w:val="24"/>
              </w:rPr>
              <w:t xml:space="preserve">3. Murphy, R. (2019). </w:t>
            </w:r>
            <w:r w:rsidRPr="00E60932">
              <w:rPr>
                <w:i/>
                <w:sz w:val="24"/>
                <w:szCs w:val="24"/>
              </w:rPr>
              <w:t xml:space="preserve">English Grammar in Use. </w:t>
            </w:r>
            <w:r w:rsidRPr="00E60932">
              <w:rPr>
                <w:sz w:val="24"/>
                <w:szCs w:val="24"/>
              </w:rPr>
              <w:t>Cambridge: Cambridge University Press.</w:t>
            </w:r>
          </w:p>
          <w:p w14:paraId="05F97E72" w14:textId="0CBC59D9" w:rsidR="00E60932" w:rsidRPr="00E60932" w:rsidRDefault="00E60932" w:rsidP="00E60932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E60932">
              <w:rPr>
                <w:sz w:val="24"/>
                <w:szCs w:val="24"/>
              </w:rPr>
              <w:t xml:space="preserve">4. Thomson, A. J., &amp; Martinet, A. V. (2007). </w:t>
            </w:r>
            <w:r w:rsidRPr="00E60932">
              <w:rPr>
                <w:i/>
                <w:sz w:val="24"/>
                <w:szCs w:val="24"/>
              </w:rPr>
              <w:t xml:space="preserve">A Practical English Grammar. </w:t>
            </w:r>
            <w:r w:rsidRPr="00E60932">
              <w:rPr>
                <w:sz w:val="24"/>
                <w:szCs w:val="24"/>
              </w:rPr>
              <w:t xml:space="preserve"> Oxford University Press. </w:t>
            </w:r>
          </w:p>
          <w:p w14:paraId="1DEDF791" w14:textId="423D738B" w:rsidR="00777226" w:rsidRPr="00E60932" w:rsidRDefault="0077337D">
            <w:pPr>
              <w:rPr>
                <w:bCs/>
                <w:sz w:val="24"/>
                <w:szCs w:val="24"/>
              </w:rPr>
            </w:pPr>
            <w:r w:rsidRPr="00E60932">
              <w:rPr>
                <w:bCs/>
                <w:sz w:val="24"/>
                <w:szCs w:val="24"/>
              </w:rPr>
              <w:t>4. Virginia Evans</w:t>
            </w:r>
            <w:r w:rsidR="00E60932" w:rsidRPr="00E60932">
              <w:rPr>
                <w:bCs/>
                <w:sz w:val="24"/>
                <w:szCs w:val="24"/>
                <w:lang w:val="sr-Latn-RS"/>
              </w:rPr>
              <w:t>.</w:t>
            </w:r>
            <w:r w:rsidRPr="00E60932">
              <w:rPr>
                <w:bCs/>
                <w:i/>
                <w:sz w:val="24"/>
                <w:szCs w:val="24"/>
              </w:rPr>
              <w:t xml:space="preserve"> Successful Writing</w:t>
            </w:r>
            <w:r w:rsidRPr="00E60932">
              <w:rPr>
                <w:bCs/>
                <w:sz w:val="24"/>
                <w:szCs w:val="24"/>
              </w:rPr>
              <w:t>, Express Publishing</w:t>
            </w:r>
          </w:p>
          <w:p w14:paraId="4D3F3643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bCs/>
                <w:sz w:val="24"/>
                <w:szCs w:val="24"/>
              </w:rPr>
              <w:t>5. одговарајући једно-језички речник (Oxford, Lo</w:t>
            </w:r>
            <w:r w:rsidRPr="00E60932">
              <w:rPr>
                <w:bCs/>
                <w:sz w:val="24"/>
                <w:szCs w:val="24"/>
              </w:rPr>
              <w:t>ngman, Collins Cobuild)</w:t>
            </w:r>
          </w:p>
        </w:tc>
      </w:tr>
      <w:tr w:rsidR="000C7CE3" w:rsidRPr="00E60932" w14:paraId="7333D97C" w14:textId="77777777" w:rsidTr="00E50941">
        <w:tc>
          <w:tcPr>
            <w:tcW w:w="4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81FB" w14:textId="432C0F26" w:rsidR="000C7CE3" w:rsidRPr="00E60932" w:rsidRDefault="000C7CE3" w:rsidP="000C7CE3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  <w:lang w:val="sr-Cyrl-RS"/>
              </w:rPr>
            </w:pPr>
            <w:r w:rsidRPr="00E60932">
              <w:rPr>
                <w:b/>
                <w:sz w:val="24"/>
                <w:szCs w:val="24"/>
              </w:rPr>
              <w:t>Број часова  активне наставе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FF43E" w14:textId="0C4E00F8" w:rsidR="000C7CE3" w:rsidRPr="00E60932" w:rsidRDefault="000C7CE3" w:rsidP="000C7CE3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  <w:lang w:val="sr-Cyrl-RS"/>
              </w:rPr>
            </w:pPr>
            <w:r w:rsidRPr="00E60932">
              <w:rPr>
                <w:b/>
                <w:sz w:val="24"/>
                <w:szCs w:val="24"/>
              </w:rPr>
              <w:t>Теоријска настава: 2</w:t>
            </w:r>
          </w:p>
        </w:tc>
        <w:tc>
          <w:tcPr>
            <w:tcW w:w="3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335B" w14:textId="2787ED9B" w:rsidR="000C7CE3" w:rsidRPr="00E60932" w:rsidRDefault="000C7CE3" w:rsidP="000C7C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>Практична настава: 2</w:t>
            </w:r>
          </w:p>
        </w:tc>
      </w:tr>
      <w:tr w:rsidR="00777226" w:rsidRPr="00E60932" w14:paraId="6ED05868" w14:textId="77777777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57E2" w14:textId="160A39DF" w:rsidR="00777226" w:rsidRPr="00E60932" w:rsidRDefault="0077337D" w:rsidP="00FC5CF9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 xml:space="preserve">Методе извођења наставе: </w:t>
            </w:r>
            <w:r w:rsidR="00FC5CF9" w:rsidRPr="00FC5CF9">
              <w:rPr>
                <w:sz w:val="24"/>
                <w:szCs w:val="24"/>
              </w:rPr>
              <w:t>Рад на тексту, рад у паровима, рад у групи, пројектни рад, дискусија, писање есеја, игра улога, рад уз примену рачунара/паметних телефона/таблета, хибридна настава и др.</w:t>
            </w:r>
          </w:p>
        </w:tc>
      </w:tr>
      <w:tr w:rsidR="00777226" w:rsidRPr="00E60932" w14:paraId="2D84CB31" w14:textId="77777777">
        <w:tc>
          <w:tcPr>
            <w:tcW w:w="98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8FC8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jc w:val="center"/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>Оцена  знања (максимални број поена 100)</w:t>
            </w:r>
          </w:p>
        </w:tc>
      </w:tr>
      <w:tr w:rsidR="00777226" w:rsidRPr="00E60932" w14:paraId="7BFDEC77" w14:textId="77777777"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3E0FA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>Предиспитне обавезе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D048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b/>
                <w:sz w:val="24"/>
                <w:szCs w:val="24"/>
              </w:rPr>
              <w:t>поена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1E7E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sz w:val="24"/>
                <w:szCs w:val="24"/>
              </w:rPr>
              <w:t xml:space="preserve">Завршни испит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946E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i/>
                <w:sz w:val="24"/>
                <w:szCs w:val="24"/>
              </w:rPr>
              <w:t>поена</w:t>
            </w:r>
          </w:p>
        </w:tc>
      </w:tr>
      <w:tr w:rsidR="00777226" w:rsidRPr="00E60932" w14:paraId="42829599" w14:textId="77777777"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8D63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sz w:val="24"/>
                <w:szCs w:val="24"/>
              </w:rPr>
              <w:t>активност у току предавања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DE80D" w14:textId="1BFA298B" w:rsidR="00777226" w:rsidRPr="00E60932" w:rsidRDefault="007A58AF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  <w:lang w:val="sr-Cyrl-RS"/>
              </w:rPr>
            </w:pPr>
            <w:r w:rsidRPr="00E60932">
              <w:rPr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C39CD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</w:rPr>
            </w:pPr>
            <w:r w:rsidRPr="00E60932">
              <w:rPr>
                <w:bCs/>
                <w:sz w:val="24"/>
                <w:szCs w:val="24"/>
              </w:rPr>
              <w:t>писмени испит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49B6" w14:textId="3B2C6955" w:rsidR="00777226" w:rsidRPr="00E60932" w:rsidRDefault="007A58AF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  <w:lang w:val="sr-Cyrl-RS"/>
              </w:rPr>
            </w:pPr>
            <w:r w:rsidRPr="00E60932">
              <w:rPr>
                <w:bCs/>
                <w:sz w:val="24"/>
                <w:szCs w:val="24"/>
                <w:lang w:val="sr-Cyrl-RS"/>
              </w:rPr>
              <w:t>30</w:t>
            </w:r>
          </w:p>
        </w:tc>
      </w:tr>
      <w:tr w:rsidR="00777226" w:rsidRPr="00E60932" w14:paraId="3B150401" w14:textId="77777777"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1D730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sz w:val="24"/>
                <w:szCs w:val="24"/>
              </w:rPr>
              <w:t>практична настава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26A8" w14:textId="67186EC5" w:rsidR="00777226" w:rsidRPr="00E60932" w:rsidRDefault="007A58AF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  <w:lang w:val="sr-Cyrl-RS"/>
              </w:rPr>
            </w:pPr>
            <w:r w:rsidRPr="00E60932">
              <w:rPr>
                <w:bCs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A2D3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</w:rPr>
            </w:pPr>
            <w:r w:rsidRPr="00E60932">
              <w:rPr>
                <w:bCs/>
                <w:sz w:val="24"/>
                <w:szCs w:val="24"/>
              </w:rPr>
              <w:t>усмени испт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1713" w14:textId="52D3F947" w:rsidR="00777226" w:rsidRPr="00E60932" w:rsidRDefault="007A58AF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</w:rPr>
            </w:pPr>
            <w:r w:rsidRPr="00E60932">
              <w:rPr>
                <w:bCs/>
                <w:sz w:val="24"/>
                <w:szCs w:val="24"/>
                <w:lang w:val="sr-Cyrl-RS"/>
              </w:rPr>
              <w:t>3</w:t>
            </w:r>
            <w:r w:rsidR="0077337D" w:rsidRPr="00E60932">
              <w:rPr>
                <w:bCs/>
                <w:sz w:val="24"/>
                <w:szCs w:val="24"/>
              </w:rPr>
              <w:t>0</w:t>
            </w:r>
          </w:p>
        </w:tc>
      </w:tr>
      <w:tr w:rsidR="00777226" w:rsidRPr="00E60932" w14:paraId="4D47F386" w14:textId="77777777"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5FF9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sz w:val="24"/>
                <w:szCs w:val="24"/>
              </w:rPr>
              <w:t>колоквијум-и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9A37B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</w:rPr>
            </w:pPr>
            <w:r w:rsidRPr="00E60932">
              <w:rPr>
                <w:bCs/>
                <w:sz w:val="24"/>
                <w:szCs w:val="24"/>
              </w:rPr>
              <w:t>30</w:t>
            </w: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17F39" w14:textId="77777777" w:rsidR="00777226" w:rsidRPr="00E60932" w:rsidRDefault="00777226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89DE" w14:textId="77777777" w:rsidR="00777226" w:rsidRPr="00E60932" w:rsidRDefault="00777226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</w:rPr>
            </w:pPr>
          </w:p>
        </w:tc>
      </w:tr>
      <w:tr w:rsidR="00777226" w:rsidRPr="00E60932" w14:paraId="15710973" w14:textId="77777777"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2868" w14:textId="77777777" w:rsidR="00777226" w:rsidRPr="00E60932" w:rsidRDefault="0077337D">
            <w:pPr>
              <w:tabs>
                <w:tab w:val="center" w:pos="4320"/>
                <w:tab w:val="right" w:pos="8640"/>
              </w:tabs>
              <w:rPr>
                <w:sz w:val="24"/>
                <w:szCs w:val="24"/>
              </w:rPr>
            </w:pPr>
            <w:r w:rsidRPr="00E60932">
              <w:rPr>
                <w:sz w:val="24"/>
                <w:szCs w:val="24"/>
              </w:rPr>
              <w:t>семинар-и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8F79E" w14:textId="77777777" w:rsidR="00777226" w:rsidRPr="00E60932" w:rsidRDefault="00777226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06070" w14:textId="77777777" w:rsidR="00777226" w:rsidRPr="00E60932" w:rsidRDefault="00777226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5BDE" w14:textId="77777777" w:rsidR="00777226" w:rsidRPr="00E60932" w:rsidRDefault="00777226">
            <w:pPr>
              <w:tabs>
                <w:tab w:val="center" w:pos="4320"/>
                <w:tab w:val="right" w:pos="8640"/>
              </w:tabs>
              <w:rPr>
                <w:bCs/>
                <w:sz w:val="24"/>
                <w:szCs w:val="24"/>
              </w:rPr>
            </w:pPr>
          </w:p>
        </w:tc>
      </w:tr>
    </w:tbl>
    <w:p w14:paraId="54911583" w14:textId="77777777" w:rsidR="00777226" w:rsidRPr="00E60932" w:rsidRDefault="00777226">
      <w:pPr>
        <w:rPr>
          <w:sz w:val="24"/>
          <w:szCs w:val="24"/>
        </w:rPr>
      </w:pPr>
    </w:p>
    <w:sectPr w:rsidR="00777226" w:rsidRPr="00E60932">
      <w:headerReference w:type="default" r:id="rId6"/>
      <w:footerReference w:type="default" r:id="rId7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6E64A" w14:textId="77777777" w:rsidR="0077337D" w:rsidRDefault="0077337D">
      <w:r>
        <w:separator/>
      </w:r>
    </w:p>
  </w:endnote>
  <w:endnote w:type="continuationSeparator" w:id="0">
    <w:p w14:paraId="57B46498" w14:textId="77777777" w:rsidR="0077337D" w:rsidRDefault="00773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66AC" w14:textId="77777777" w:rsidR="00777226" w:rsidRDefault="0077337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hyperlink r:id="rId1">
      <w:r>
        <w:rPr>
          <w:color w:val="0000FF"/>
          <w:u w:val="single"/>
        </w:rPr>
        <w:t>www.filfak.ni.ac.rs</w:t>
      </w:r>
    </w:hyperlink>
  </w:p>
  <w:p w14:paraId="3C4DACC0" w14:textId="77777777" w:rsidR="00777226" w:rsidRDefault="00777226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EAA5E" w14:textId="77777777" w:rsidR="0077337D" w:rsidRDefault="0077337D">
      <w:r>
        <w:separator/>
      </w:r>
    </w:p>
  </w:footnote>
  <w:footnote w:type="continuationSeparator" w:id="0">
    <w:p w14:paraId="04262092" w14:textId="77777777" w:rsidR="0077337D" w:rsidRDefault="00773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C9DA4" w14:textId="77777777" w:rsidR="00777226" w:rsidRDefault="0077337D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777226" w14:paraId="2653B7CB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2E587692" w14:textId="77777777" w:rsidR="00777226" w:rsidRDefault="0077337D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108E6F8" wp14:editId="4D915AB6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12C9784A" w14:textId="77777777" w:rsidR="00777226" w:rsidRDefault="0077337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561859AA" w14:textId="77777777" w:rsidR="00777226" w:rsidRDefault="0077337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7F34C418" w14:textId="77777777" w:rsidR="00777226" w:rsidRDefault="0077337D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5C51CECF" wp14:editId="4977C692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777226" w14:paraId="0BD0A185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74BEAFF3" w14:textId="77777777" w:rsidR="00777226" w:rsidRDefault="0077722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5270E8E0" w14:textId="77777777" w:rsidR="00777226" w:rsidRDefault="0077337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50A2ACEB" w14:textId="77777777" w:rsidR="00777226" w:rsidRDefault="0077722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777226" w14:paraId="4A172BA4" w14:textId="77777777">
      <w:trPr>
        <w:trHeight w:val="520"/>
        <w:jc w:val="center"/>
      </w:trPr>
      <w:tc>
        <w:tcPr>
          <w:tcW w:w="1515" w:type="dxa"/>
          <w:vMerge/>
          <w:shd w:val="clear" w:color="auto" w:fill="auto"/>
        </w:tcPr>
        <w:p w14:paraId="5DD11F3D" w14:textId="77777777" w:rsidR="00777226" w:rsidRDefault="0077722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3AA862A5" w14:textId="77777777" w:rsidR="00777226" w:rsidRDefault="0077337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студије: </w:t>
          </w:r>
        </w:p>
        <w:p w14:paraId="68DD149A" w14:textId="77777777" w:rsidR="00777226" w:rsidRDefault="0077337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046C4EC9" w14:textId="77777777" w:rsidR="00777226" w:rsidRDefault="0077722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75F21C60" w14:textId="77777777" w:rsidR="00777226" w:rsidRDefault="0077337D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226"/>
    <w:rsid w:val="000B2206"/>
    <w:rsid w:val="000C7CE3"/>
    <w:rsid w:val="002F0321"/>
    <w:rsid w:val="005349FA"/>
    <w:rsid w:val="0077337D"/>
    <w:rsid w:val="00777226"/>
    <w:rsid w:val="007A58AF"/>
    <w:rsid w:val="0080063C"/>
    <w:rsid w:val="009B3E77"/>
    <w:rsid w:val="009E10B3"/>
    <w:rsid w:val="00A277D6"/>
    <w:rsid w:val="00CF5A5A"/>
    <w:rsid w:val="00D11811"/>
    <w:rsid w:val="00E37B93"/>
    <w:rsid w:val="00E60932"/>
    <w:rsid w:val="00F6720B"/>
    <w:rsid w:val="00FC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CDE23"/>
  <w15:docId w15:val="{2FC466EF-6FDC-4356-8BB5-AAAFA75F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dcterms:created xsi:type="dcterms:W3CDTF">2024-09-11T08:45:00Z</dcterms:created>
  <dcterms:modified xsi:type="dcterms:W3CDTF">2024-09-11T09:07:00Z</dcterms:modified>
</cp:coreProperties>
</file>