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ECD0E" w14:textId="77777777" w:rsidR="00D83524" w:rsidRDefault="000A38C3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D83524" w14:paraId="660FC0D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9ED778A" w14:textId="396F1459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 : </w:t>
            </w:r>
            <w:r w:rsidR="00672BFB">
              <w:rPr>
                <w:b/>
                <w:lang w:val="sr-Cyrl-RS"/>
              </w:rPr>
              <w:t>ОАС Немачког</w:t>
            </w:r>
            <w:r>
              <w:rPr>
                <w:b/>
              </w:rPr>
              <w:t xml:space="preserve"> језика и књижевности</w:t>
            </w:r>
          </w:p>
        </w:tc>
      </w:tr>
      <w:tr w:rsidR="00D83524" w14:paraId="6039E27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5671FC1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Назив предмета: Српски језик – фонетика </w:t>
            </w:r>
          </w:p>
        </w:tc>
      </w:tr>
      <w:tr w:rsidR="00D83524" w14:paraId="4031002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7B0CCCA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Александра</w:t>
              </w:r>
            </w:hyperlink>
            <w:r>
              <w:rPr>
                <w:b/>
              </w:rPr>
              <w:t xml:space="preserve"> Р. Лончар Раичевић</w:t>
            </w:r>
            <w:bookmarkStart w:id="0" w:name="_GoBack"/>
            <w:bookmarkEnd w:id="0"/>
          </w:p>
          <w:p w14:paraId="44AD1CA7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Сарадник: Нина Љ. Судимац Јовић</w:t>
            </w:r>
          </w:p>
        </w:tc>
      </w:tr>
      <w:tr w:rsidR="00D83524" w14:paraId="3E2F18FC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DF5E3D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обавезни</w:t>
            </w:r>
          </w:p>
        </w:tc>
      </w:tr>
      <w:tr w:rsidR="00D83524" w14:paraId="7FFD02F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FDE58AF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5</w:t>
            </w:r>
          </w:p>
        </w:tc>
      </w:tr>
      <w:tr w:rsidR="00D83524" w14:paraId="0DF1078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866E1CC" w14:textId="77777777" w:rsidR="00D83524" w:rsidRDefault="000A38C3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нема</w:t>
            </w:r>
          </w:p>
        </w:tc>
      </w:tr>
      <w:tr w:rsidR="00D83524" w14:paraId="693625FC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72BABDA0" w14:textId="77777777" w:rsidR="00D83524" w:rsidRDefault="000A38C3">
            <w:pPr>
              <w:jc w:val="both"/>
            </w:pPr>
            <w:r>
              <w:rPr>
                <w:b/>
              </w:rPr>
              <w:t>Циљ предмета</w:t>
            </w:r>
          </w:p>
          <w:p w14:paraId="01099F6F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Упутити студенте у развој српског</w:t>
            </w:r>
            <w:r>
              <w:t xml:space="preserve"> књижевног језика, у основне особине српских дијалеката, у фонетску норму српског књижевног језика и његов правопис.</w:t>
            </w:r>
          </w:p>
        </w:tc>
      </w:tr>
      <w:tr w:rsidR="00D83524" w14:paraId="7AC1CF80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5D5C2B62" w14:textId="77777777" w:rsidR="00D83524" w:rsidRDefault="000A38C3">
            <w:pPr>
              <w:jc w:val="both"/>
            </w:pPr>
            <w:r>
              <w:rPr>
                <w:b/>
              </w:rPr>
              <w:t xml:space="preserve">Исход предмета </w:t>
            </w:r>
          </w:p>
          <w:p w14:paraId="33F9370D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Овладавање фонетском нормом и ортографијом српског књижевног језика ради њихове успешне примене у пракси (рад у настави, преводилаштво).</w:t>
            </w:r>
          </w:p>
        </w:tc>
      </w:tr>
      <w:tr w:rsidR="00D83524" w14:paraId="029865E3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8426346" w14:textId="77777777" w:rsidR="00D83524" w:rsidRDefault="000A38C3">
            <w:r>
              <w:rPr>
                <w:b/>
              </w:rPr>
              <w:t>Садржај предмета</w:t>
            </w:r>
          </w:p>
          <w:p w14:paraId="25E76559" w14:textId="77777777" w:rsidR="00D83524" w:rsidRDefault="000A38C3">
            <w:r>
              <w:rPr>
                <w:i/>
              </w:rPr>
              <w:t>Теоријска настава</w:t>
            </w:r>
          </w:p>
          <w:p w14:paraId="3927D6FB" w14:textId="77777777" w:rsidR="00D83524" w:rsidRDefault="000A38C3">
            <w:pPr>
              <w:jc w:val="both"/>
            </w:pPr>
            <w:r>
              <w:t>Преглед развоја српског књижевног језика. Граматике и речници српског језика. Расло</w:t>
            </w:r>
            <w:r>
              <w:t>јавање језика. Српски дијалекти. Фонетика и фонологија: фонема и глас, гласови српског књижевног језика, слог и подела речи на слогове. Морфофонологија: прозодија српског књижевног језика, типови гласовних алтернација. Фонолошки условљене алтернације: једн</w:t>
            </w:r>
            <w:r>
              <w:t xml:space="preserve">ачење по звучности, једначење по месту или начину артикулације, асимилација и дисимилација гласова. Морфолошки и творбено условљене алтернације: палатализација и сибиларизација, јотовање. Алтернације самогласника: преглас, превој, непостојано </w:t>
            </w:r>
            <w:r>
              <w:rPr>
                <w:i/>
              </w:rPr>
              <w:t>а</w:t>
            </w:r>
            <w:r>
              <w:t xml:space="preserve">,  промена </w:t>
            </w:r>
            <w:r>
              <w:rPr>
                <w:i/>
              </w:rPr>
              <w:t>л</w:t>
            </w:r>
            <w:r>
              <w:t xml:space="preserve"> у </w:t>
            </w:r>
            <w:r>
              <w:rPr>
                <w:i/>
              </w:rPr>
              <w:t>о</w:t>
            </w:r>
            <w:r>
              <w:t xml:space="preserve">, покретни самогласници.  Сугласници </w:t>
            </w:r>
            <w:r>
              <w:rPr>
                <w:i/>
              </w:rPr>
              <w:t>ј</w:t>
            </w:r>
            <w:r>
              <w:t xml:space="preserve"> и </w:t>
            </w:r>
            <w:r>
              <w:rPr>
                <w:i/>
              </w:rPr>
              <w:t>х</w:t>
            </w:r>
            <w:r>
              <w:t xml:space="preserve"> у књижевном језику. Фонетске вредности некадашњег вокала </w:t>
            </w:r>
            <w:r>
              <w:rPr>
                <w:i/>
              </w:rPr>
              <w:t>јат</w:t>
            </w:r>
            <w:r>
              <w:t xml:space="preserve">. Правопис: велико слово,  спојено и одвојено писање речи, интерпункција, скраћенице, прилагођено писање имена из страних живих језика. </w:t>
            </w:r>
          </w:p>
          <w:p w14:paraId="486F383F" w14:textId="77777777" w:rsidR="00D83524" w:rsidRDefault="000A38C3">
            <w:r>
              <w:rPr>
                <w:i/>
              </w:rPr>
              <w:t>Практична на</w:t>
            </w:r>
            <w:r>
              <w:rPr>
                <w:i/>
              </w:rPr>
              <w:t>става: вежбе</w:t>
            </w:r>
          </w:p>
          <w:p w14:paraId="6DCD934A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Увежбавање наставног садржаја на примерима и одабраним текстовима.</w:t>
            </w:r>
          </w:p>
        </w:tc>
      </w:tr>
      <w:tr w:rsidR="00D83524" w14:paraId="28B8D12C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2B896D70" w14:textId="77777777" w:rsidR="00D83524" w:rsidRDefault="000A38C3">
            <w:r>
              <w:rPr>
                <w:b/>
              </w:rPr>
              <w:t xml:space="preserve">Литература </w:t>
            </w:r>
          </w:p>
          <w:p w14:paraId="52382F77" w14:textId="77777777" w:rsidR="00D83524" w:rsidRDefault="000A38C3">
            <w:r>
              <w:rPr>
                <w:i/>
              </w:rPr>
              <w:t>Обавезна</w:t>
            </w:r>
          </w:p>
          <w:p w14:paraId="5081C78A" w14:textId="77777777" w:rsidR="00D83524" w:rsidRDefault="000A38C3">
            <w:pPr>
              <w:jc w:val="both"/>
            </w:pPr>
            <w:r>
              <w:t xml:space="preserve">1. Живојин С. Станојчић, </w:t>
            </w:r>
            <w:r>
              <w:rPr>
                <w:i/>
              </w:rPr>
              <w:t>Граматика српског књижевног језика</w:t>
            </w:r>
            <w:r>
              <w:t>, Београд: Креативни центар, 2010,  5–74.</w:t>
            </w:r>
          </w:p>
          <w:p w14:paraId="1DD0D4C6" w14:textId="77777777" w:rsidR="00D83524" w:rsidRDefault="000A38C3">
            <w:pPr>
              <w:jc w:val="both"/>
            </w:pPr>
            <w:r>
              <w:t xml:space="preserve">2. Митар Пешикан, Јован Јерковић, Мато Пижурица, </w:t>
            </w:r>
            <w:r>
              <w:rPr>
                <w:i/>
              </w:rPr>
              <w:t>Правопис српскога језика</w:t>
            </w:r>
            <w:r>
              <w:t>, Нови Сад: Матица српска, 2010.</w:t>
            </w:r>
          </w:p>
          <w:p w14:paraId="6F7F6906" w14:textId="77777777" w:rsidR="00D83524" w:rsidRDefault="000A38C3">
            <w:pPr>
              <w:jc w:val="both"/>
            </w:pPr>
            <w:r>
              <w:rPr>
                <w:i/>
              </w:rPr>
              <w:t xml:space="preserve">Допунска, </w:t>
            </w:r>
            <w:r>
              <w:t>30–55.</w:t>
            </w:r>
          </w:p>
          <w:p w14:paraId="05ECF4C2" w14:textId="77777777" w:rsidR="00D83524" w:rsidRDefault="000A38C3">
            <w:pPr>
              <w:jc w:val="both"/>
            </w:pPr>
            <w:r>
              <w:t xml:space="preserve">3. П. Ивић, И. Клајн, М. Пешикан, Б. Брборић, </w:t>
            </w:r>
            <w:r>
              <w:rPr>
                <w:i/>
              </w:rPr>
              <w:t>Српски језички приручник</w:t>
            </w:r>
            <w:r>
              <w:t>,</w:t>
            </w:r>
            <w:r>
              <w:rPr>
                <w:i/>
              </w:rPr>
              <w:t xml:space="preserve"> </w:t>
            </w:r>
            <w:r>
              <w:t>Београд: Београдска књига – ЈП Службени гласник, 2011, 65 –94</w:t>
            </w:r>
            <w:r>
              <w:t>; 94–119</w:t>
            </w:r>
          </w:p>
          <w:p w14:paraId="6E766767" w14:textId="77777777" w:rsidR="00D83524" w:rsidRDefault="000A38C3">
            <w:pPr>
              <w:jc w:val="both"/>
            </w:pPr>
            <w:r>
              <w:t xml:space="preserve">4. М. Дешић, </w:t>
            </w:r>
            <w:r>
              <w:rPr>
                <w:i/>
              </w:rPr>
              <w:t>Српски акценат с лакоћом</w:t>
            </w:r>
            <w:r>
              <w:t>, Београд: Завод за уџбенике и наставна средства, 1992.</w:t>
            </w:r>
          </w:p>
          <w:p w14:paraId="4F69CBB5" w14:textId="77777777" w:rsidR="00D83524" w:rsidRDefault="00D83524">
            <w:pPr>
              <w:jc w:val="both"/>
            </w:pPr>
          </w:p>
        </w:tc>
      </w:tr>
      <w:tr w:rsidR="00D83524" w14:paraId="4E7C1BD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53D4679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2AC5605B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710E5913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1</w:t>
            </w:r>
          </w:p>
        </w:tc>
      </w:tr>
      <w:tr w:rsidR="00D83524" w14:paraId="706A328A" w14:textId="77777777">
        <w:trPr>
          <w:trHeight w:val="227"/>
          <w:jc w:val="center"/>
        </w:trPr>
        <w:tc>
          <w:tcPr>
            <w:tcW w:w="10103" w:type="dxa"/>
            <w:gridSpan w:val="5"/>
          </w:tcPr>
          <w:p w14:paraId="0A44331D" w14:textId="77777777" w:rsidR="00D83524" w:rsidRDefault="000A38C3">
            <w:r>
              <w:rPr>
                <w:b/>
              </w:rPr>
              <w:t>Методе извођења наставе</w:t>
            </w:r>
          </w:p>
          <w:p w14:paraId="7569A19E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Предавања и вежбе. Монолошко-дијалошка, демонстративно-илустративна.</w:t>
            </w:r>
          </w:p>
        </w:tc>
      </w:tr>
      <w:tr w:rsidR="00D83524" w14:paraId="6EB46A2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521D9FC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D83524" w14:paraId="06E9F2CC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A58DFDD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5E90F3A1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79DF593A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086EFBF0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24C3CF07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D83524" w14:paraId="2B9CD3EA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581438E0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AD6CF21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14:paraId="3DD4F217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2D5832AD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25</w:t>
            </w:r>
          </w:p>
        </w:tc>
      </w:tr>
      <w:tr w:rsidR="00D83524" w14:paraId="2CA3ABF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A7A9345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B70A10D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7ADF212C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5D0890B1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45</w:t>
            </w:r>
          </w:p>
        </w:tc>
      </w:tr>
      <w:tr w:rsidR="00D83524" w14:paraId="6C59D39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1E082DFF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3AD94343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3BF640F3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71267B6C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</w:tr>
      <w:tr w:rsidR="00D83524" w14:paraId="5AB0FBF0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D167343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7150A87B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3E5C5A0A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77F70613" w14:textId="77777777" w:rsidR="00D83524" w:rsidRDefault="00D83524">
            <w:pPr>
              <w:tabs>
                <w:tab w:val="left" w:pos="567"/>
              </w:tabs>
              <w:spacing w:after="60"/>
            </w:pPr>
          </w:p>
        </w:tc>
      </w:tr>
      <w:tr w:rsidR="00D83524" w14:paraId="62412E1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2BE1BE6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D83524" w14:paraId="08923F2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9929CB2" w14:textId="77777777" w:rsidR="00D83524" w:rsidRDefault="000A38C3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6D8E1AAD" w14:textId="77777777" w:rsidR="00D83524" w:rsidRDefault="00D83524">
      <w:pPr>
        <w:jc w:val="center"/>
      </w:pPr>
    </w:p>
    <w:sectPr w:rsidR="00D835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2A44" w14:textId="77777777" w:rsidR="000A38C3" w:rsidRDefault="000A38C3">
      <w:r>
        <w:separator/>
      </w:r>
    </w:p>
  </w:endnote>
  <w:endnote w:type="continuationSeparator" w:id="0">
    <w:p w14:paraId="6AED06F8" w14:textId="77777777" w:rsidR="000A38C3" w:rsidRDefault="000A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8AB78" w14:textId="77777777" w:rsidR="00D83524" w:rsidRDefault="00D8352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42F5DA" w14:textId="77777777" w:rsidR="00D83524" w:rsidRDefault="000A38C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3CD5C" w14:textId="77777777" w:rsidR="00D83524" w:rsidRDefault="00D8352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C9AC4" w14:textId="77777777" w:rsidR="000A38C3" w:rsidRDefault="000A38C3">
      <w:r>
        <w:separator/>
      </w:r>
    </w:p>
  </w:footnote>
  <w:footnote w:type="continuationSeparator" w:id="0">
    <w:p w14:paraId="1B594125" w14:textId="77777777" w:rsidR="000A38C3" w:rsidRDefault="000A3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DFF86" w14:textId="77777777" w:rsidR="00D83524" w:rsidRDefault="00D8352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0FB4" w14:textId="77777777" w:rsidR="00D83524" w:rsidRDefault="000A38C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D83524" w14:paraId="1B428AFE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50EA4F98" w14:textId="77777777" w:rsidR="00D83524" w:rsidRDefault="000A3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6152DD7" wp14:editId="758C4879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47FC66F1" w14:textId="77777777" w:rsidR="00D83524" w:rsidRDefault="000A3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3905F488" w14:textId="77777777" w:rsidR="00D83524" w:rsidRDefault="000A3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3482DC19" w14:textId="77777777" w:rsidR="00D83524" w:rsidRDefault="000A3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1C55314" wp14:editId="2A10E954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83524" w14:paraId="7181EC41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62DAF8EE" w14:textId="77777777" w:rsidR="00D83524" w:rsidRDefault="00D8352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58CA751" w14:textId="77777777" w:rsidR="00D83524" w:rsidRDefault="000A38C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7FFB94A1" w14:textId="77777777" w:rsidR="00D83524" w:rsidRDefault="00D8352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D83524" w14:paraId="20BE9C83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20517EEA" w14:textId="77777777" w:rsidR="00D83524" w:rsidRDefault="00D8352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717E8FE0" w14:textId="34516B50" w:rsidR="00D83524" w:rsidRPr="00672BFB" w:rsidRDefault="00672B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</w:t>
          </w:r>
          <w:r w:rsidR="000A38C3">
            <w:rPr>
              <w:b/>
              <w:color w:val="333399"/>
              <w:sz w:val="24"/>
              <w:szCs w:val="24"/>
            </w:rPr>
            <w:t xml:space="preserve"> језик и књижевност</w:t>
          </w:r>
          <w:r>
            <w:rPr>
              <w:b/>
              <w:color w:val="333399"/>
              <w:sz w:val="24"/>
              <w:szCs w:val="24"/>
              <w:lang w:val="sr-Cyrl-RS"/>
            </w:rPr>
            <w:t xml:space="preserve"> (ОАС)</w:t>
          </w:r>
        </w:p>
      </w:tc>
      <w:tc>
        <w:tcPr>
          <w:tcW w:w="1656" w:type="dxa"/>
          <w:vMerge/>
          <w:vAlign w:val="center"/>
        </w:tcPr>
        <w:p w14:paraId="1F627F69" w14:textId="77777777" w:rsidR="00D83524" w:rsidRDefault="00D8352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4B871E5D" w14:textId="77777777" w:rsidR="00D83524" w:rsidRDefault="000A38C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C2F1D" w14:textId="77777777" w:rsidR="00D83524" w:rsidRDefault="00D8352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524"/>
    <w:rsid w:val="000A38C3"/>
    <w:rsid w:val="00672BFB"/>
    <w:rsid w:val="00D8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8D251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/A.%20Loncar%20Raicevic.doc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2024-09-08T19:01:00Z</dcterms:created>
  <dcterms:modified xsi:type="dcterms:W3CDTF">2024-09-08T19:02:00Z</dcterms:modified>
</cp:coreProperties>
</file>