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1D0" w:rsidRPr="00AD3D04" w:rsidRDefault="00D621D0" w:rsidP="005C0060">
      <w:pPr>
        <w:spacing w:after="0"/>
        <w:jc w:val="both"/>
        <w:rPr>
          <w:rFonts w:ascii="Times New Roman" w:hAnsi="Times New Roman" w:cs="Times New Roman"/>
          <w:sz w:val="24"/>
          <w:szCs w:val="24"/>
          <w:lang w:val="sr-Cyrl-CS"/>
        </w:rPr>
      </w:pPr>
      <w:bookmarkStart w:id="0" w:name="_GoBack"/>
      <w:bookmarkEnd w:id="0"/>
      <w:r w:rsidRPr="00AD3D04">
        <w:rPr>
          <w:rFonts w:ascii="Times New Roman" w:hAnsi="Times New Roman" w:cs="Times New Roman"/>
          <w:sz w:val="24"/>
          <w:szCs w:val="24"/>
          <w:lang w:val="sr-Cyrl-CS"/>
        </w:rPr>
        <w:t>Др Миланка Бабић, редовни професор за Савремени српски језик и лингвистику</w:t>
      </w:r>
    </w:p>
    <w:p w:rsidR="00D621D0" w:rsidRPr="00AD3D04" w:rsidRDefault="00D621D0" w:rsidP="005C0060">
      <w:pPr>
        <w:spacing w:after="0"/>
        <w:jc w:val="both"/>
        <w:rPr>
          <w:rFonts w:ascii="Times New Roman" w:hAnsi="Times New Roman" w:cs="Times New Roman"/>
          <w:sz w:val="24"/>
          <w:szCs w:val="24"/>
          <w:lang w:val="sr-Cyrl-CS"/>
        </w:rPr>
      </w:pPr>
      <w:r w:rsidRPr="00AD3D04">
        <w:rPr>
          <w:rFonts w:ascii="Times New Roman" w:hAnsi="Times New Roman" w:cs="Times New Roman"/>
          <w:sz w:val="24"/>
          <w:szCs w:val="24"/>
          <w:lang w:val="sr-Cyrl-CS"/>
        </w:rPr>
        <w:t>Филозофски факултет Универзитета у Источном Сарајеву</w:t>
      </w:r>
    </w:p>
    <w:p w:rsidR="00D621D0" w:rsidRPr="00AD3D04" w:rsidRDefault="00D621D0" w:rsidP="005C0060">
      <w:pPr>
        <w:spacing w:after="0"/>
        <w:jc w:val="both"/>
        <w:rPr>
          <w:rFonts w:ascii="Times New Roman" w:hAnsi="Times New Roman" w:cs="Times New Roman"/>
          <w:sz w:val="24"/>
          <w:szCs w:val="24"/>
          <w:lang w:val="sr-Cyrl-CS"/>
        </w:rPr>
      </w:pPr>
    </w:p>
    <w:p w:rsidR="00D621D0" w:rsidRPr="00AD3D04" w:rsidRDefault="00D621D0" w:rsidP="005C0060">
      <w:pPr>
        <w:spacing w:after="0"/>
        <w:jc w:val="both"/>
        <w:rPr>
          <w:rFonts w:ascii="Times New Roman" w:hAnsi="Times New Roman" w:cs="Times New Roman"/>
          <w:sz w:val="24"/>
          <w:szCs w:val="24"/>
          <w:lang w:val="sr-Cyrl-CS"/>
        </w:rPr>
      </w:pPr>
    </w:p>
    <w:p w:rsidR="00AD3D04" w:rsidRDefault="00AD3D04" w:rsidP="00D621D0">
      <w:pPr>
        <w:spacing w:after="0"/>
        <w:jc w:val="center"/>
        <w:rPr>
          <w:rFonts w:ascii="Times New Roman" w:hAnsi="Times New Roman" w:cs="Times New Roman"/>
          <w:sz w:val="24"/>
          <w:szCs w:val="24"/>
          <w:lang w:val="sr-Cyrl-CS"/>
        </w:rPr>
      </w:pPr>
    </w:p>
    <w:p w:rsidR="005C0060" w:rsidRPr="00AD3D04" w:rsidRDefault="005C0060" w:rsidP="00D621D0">
      <w:pPr>
        <w:spacing w:after="0"/>
        <w:jc w:val="center"/>
        <w:rPr>
          <w:rFonts w:ascii="Times New Roman" w:hAnsi="Times New Roman"/>
          <w:iCs/>
          <w:color w:val="222222"/>
          <w:sz w:val="24"/>
          <w:szCs w:val="24"/>
          <w:lang w:val="sr-Cyrl-CS"/>
        </w:rPr>
      </w:pPr>
      <w:r w:rsidRPr="00AD3D04">
        <w:rPr>
          <w:rFonts w:ascii="Times New Roman" w:hAnsi="Times New Roman" w:cs="Times New Roman"/>
          <w:sz w:val="24"/>
          <w:szCs w:val="24"/>
          <w:lang w:val="sr-Cyrl-CS"/>
        </w:rPr>
        <w:t xml:space="preserve">Рецензија монографије </w:t>
      </w:r>
      <w:r w:rsidRPr="00AD3D04">
        <w:rPr>
          <w:rFonts w:ascii="Times New Roman" w:eastAsia="Calibri" w:hAnsi="Times New Roman" w:cs="Times New Roman"/>
          <w:i/>
          <w:iCs/>
          <w:color w:val="222222"/>
          <w:sz w:val="24"/>
          <w:szCs w:val="24"/>
        </w:rPr>
        <w:t>О КОНГРУЕН</w:t>
      </w:r>
      <w:r w:rsidRPr="00AD3D04">
        <w:rPr>
          <w:rFonts w:ascii="Times New Roman" w:hAnsi="Times New Roman"/>
          <w:i/>
          <w:iCs/>
          <w:color w:val="222222"/>
          <w:sz w:val="24"/>
          <w:szCs w:val="24"/>
        </w:rPr>
        <w:t>ЦИЈИ ПРЕДИКАТА СА ДИСЈУНКТИВНИМ</w:t>
      </w:r>
      <w:r w:rsidRPr="00AD3D04">
        <w:rPr>
          <w:rFonts w:ascii="Times New Roman" w:hAnsi="Times New Roman"/>
          <w:i/>
          <w:iCs/>
          <w:color w:val="222222"/>
          <w:sz w:val="24"/>
          <w:szCs w:val="24"/>
          <w:lang w:val="en-US"/>
        </w:rPr>
        <w:t xml:space="preserve"> </w:t>
      </w:r>
      <w:r w:rsidRPr="00AD3D04">
        <w:rPr>
          <w:rFonts w:ascii="Times New Roman" w:eastAsia="Calibri" w:hAnsi="Times New Roman" w:cs="Times New Roman"/>
          <w:i/>
          <w:iCs/>
          <w:color w:val="222222"/>
          <w:sz w:val="24"/>
          <w:szCs w:val="24"/>
        </w:rPr>
        <w:t xml:space="preserve">СУБЈЕКТОМ </w:t>
      </w:r>
      <w:r w:rsidRPr="00AD3D04">
        <w:rPr>
          <w:rFonts w:ascii="Times New Roman" w:hAnsi="Times New Roman"/>
          <w:i/>
          <w:iCs/>
          <w:color w:val="222222"/>
          <w:sz w:val="24"/>
          <w:szCs w:val="24"/>
          <w:lang w:val="en-US"/>
        </w:rPr>
        <w:t xml:space="preserve"> </w:t>
      </w:r>
      <w:r w:rsidRPr="00AD3D04">
        <w:rPr>
          <w:rFonts w:ascii="Times New Roman" w:eastAsia="Calibri" w:hAnsi="Times New Roman" w:cs="Times New Roman"/>
          <w:i/>
          <w:iCs/>
          <w:color w:val="222222"/>
          <w:sz w:val="24"/>
          <w:szCs w:val="24"/>
        </w:rPr>
        <w:t>У СРПСКОМ ЈЕЗИКУ</w:t>
      </w:r>
      <w:r w:rsidRPr="00AD3D04">
        <w:rPr>
          <w:rFonts w:ascii="Times New Roman" w:hAnsi="Times New Roman"/>
          <w:iCs/>
          <w:color w:val="222222"/>
          <w:sz w:val="24"/>
          <w:szCs w:val="24"/>
          <w:lang w:val="en-US"/>
        </w:rPr>
        <w:t xml:space="preserve"> </w:t>
      </w:r>
      <w:r w:rsidR="00D621D0" w:rsidRPr="00AD3D04">
        <w:rPr>
          <w:rFonts w:ascii="Times New Roman" w:hAnsi="Times New Roman"/>
          <w:iCs/>
          <w:color w:val="222222"/>
          <w:sz w:val="24"/>
          <w:szCs w:val="24"/>
          <w:lang w:val="sr-Cyrl-RS"/>
        </w:rPr>
        <w:t xml:space="preserve"> </w:t>
      </w:r>
      <w:r w:rsidRPr="00AD3D04">
        <w:rPr>
          <w:rFonts w:ascii="Times New Roman" w:hAnsi="Times New Roman"/>
          <w:iCs/>
          <w:color w:val="222222"/>
          <w:sz w:val="24"/>
          <w:szCs w:val="24"/>
          <w:lang w:val="en-US"/>
        </w:rPr>
        <w:t>Иване Митић</w:t>
      </w:r>
    </w:p>
    <w:p w:rsidR="005C0060" w:rsidRDefault="005C0060" w:rsidP="005C0060">
      <w:pPr>
        <w:spacing w:after="0"/>
        <w:jc w:val="both"/>
        <w:rPr>
          <w:rFonts w:ascii="Times New Roman" w:eastAsia="Calibri" w:hAnsi="Times New Roman" w:cs="Times New Roman"/>
          <w:iCs/>
          <w:color w:val="222222"/>
          <w:sz w:val="24"/>
          <w:szCs w:val="24"/>
          <w:lang w:val="sr-Cyrl-CS"/>
        </w:rPr>
      </w:pPr>
    </w:p>
    <w:p w:rsidR="00AD3D04" w:rsidRPr="00AD3D04" w:rsidRDefault="00AD3D04" w:rsidP="005C0060">
      <w:pPr>
        <w:spacing w:after="0"/>
        <w:jc w:val="both"/>
        <w:rPr>
          <w:rFonts w:ascii="Times New Roman" w:eastAsia="Calibri" w:hAnsi="Times New Roman" w:cs="Times New Roman"/>
          <w:iCs/>
          <w:color w:val="222222"/>
          <w:sz w:val="24"/>
          <w:szCs w:val="24"/>
          <w:lang w:val="sr-Cyrl-CS"/>
        </w:rPr>
      </w:pPr>
    </w:p>
    <w:p w:rsidR="00EE32C8" w:rsidRPr="00AD3D04" w:rsidRDefault="00EE32C8" w:rsidP="00C44E07">
      <w:pPr>
        <w:spacing w:after="0" w:line="240" w:lineRule="auto"/>
        <w:ind w:firstLine="720"/>
        <w:jc w:val="both"/>
        <w:rPr>
          <w:rFonts w:ascii="Times New Roman" w:hAnsi="Times New Roman" w:cs="Times New Roman"/>
          <w:sz w:val="24"/>
          <w:szCs w:val="24"/>
          <w:lang w:val="sr-Cyrl-CS"/>
        </w:rPr>
      </w:pPr>
      <w:r w:rsidRPr="00AD3D04">
        <w:rPr>
          <w:rFonts w:ascii="Times New Roman" w:hAnsi="Times New Roman" w:cs="Times New Roman"/>
          <w:sz w:val="24"/>
          <w:szCs w:val="24"/>
          <w:lang w:val="sr-Cyrl-CS"/>
        </w:rPr>
        <w:t xml:space="preserve">Монографија </w:t>
      </w:r>
      <w:r w:rsidR="00A555C7" w:rsidRPr="00AD3D04">
        <w:rPr>
          <w:rFonts w:ascii="Times New Roman" w:eastAsia="Calibri" w:hAnsi="Times New Roman" w:cs="Times New Roman"/>
          <w:iCs/>
          <w:color w:val="222222"/>
          <w:sz w:val="24"/>
          <w:szCs w:val="24"/>
        </w:rPr>
        <w:t>О КОНГРУЕН</w:t>
      </w:r>
      <w:r w:rsidR="00A555C7" w:rsidRPr="00AD3D04">
        <w:rPr>
          <w:rFonts w:ascii="Times New Roman" w:hAnsi="Times New Roman"/>
          <w:iCs/>
          <w:color w:val="222222"/>
          <w:sz w:val="24"/>
          <w:szCs w:val="24"/>
        </w:rPr>
        <w:t>ЦИЈИ ПРЕДИКАТА СА ДИСЈУНКТИВНИМ</w:t>
      </w:r>
      <w:r w:rsidR="00A555C7" w:rsidRPr="00AD3D04">
        <w:rPr>
          <w:rFonts w:ascii="Times New Roman" w:hAnsi="Times New Roman"/>
          <w:iCs/>
          <w:color w:val="222222"/>
          <w:sz w:val="24"/>
          <w:szCs w:val="24"/>
          <w:lang w:val="en-US"/>
        </w:rPr>
        <w:t xml:space="preserve"> </w:t>
      </w:r>
      <w:r w:rsidR="00A555C7" w:rsidRPr="00AD3D04">
        <w:rPr>
          <w:rFonts w:ascii="Times New Roman" w:eastAsia="Calibri" w:hAnsi="Times New Roman" w:cs="Times New Roman"/>
          <w:iCs/>
          <w:color w:val="222222"/>
          <w:sz w:val="24"/>
          <w:szCs w:val="24"/>
        </w:rPr>
        <w:t xml:space="preserve">СУБЈЕКТОМ </w:t>
      </w:r>
      <w:r w:rsidR="00A555C7" w:rsidRPr="00AD3D04">
        <w:rPr>
          <w:rFonts w:ascii="Times New Roman" w:hAnsi="Times New Roman"/>
          <w:iCs/>
          <w:color w:val="222222"/>
          <w:sz w:val="24"/>
          <w:szCs w:val="24"/>
          <w:lang w:val="en-US"/>
        </w:rPr>
        <w:t xml:space="preserve"> </w:t>
      </w:r>
      <w:r w:rsidR="00A555C7" w:rsidRPr="00AD3D04">
        <w:rPr>
          <w:rFonts w:ascii="Times New Roman" w:eastAsia="Calibri" w:hAnsi="Times New Roman" w:cs="Times New Roman"/>
          <w:iCs/>
          <w:color w:val="222222"/>
          <w:sz w:val="24"/>
          <w:szCs w:val="24"/>
        </w:rPr>
        <w:t>У СРПСКОМ ЈЕЗИКУ</w:t>
      </w:r>
      <w:r w:rsidRPr="00AD3D04">
        <w:rPr>
          <w:rFonts w:ascii="Times New Roman" w:hAnsi="Times New Roman" w:cs="Times New Roman"/>
          <w:i/>
          <w:sz w:val="24"/>
          <w:szCs w:val="24"/>
          <w:lang w:val="sr-Cyrl-CS"/>
        </w:rPr>
        <w:t xml:space="preserve"> </w:t>
      </w:r>
      <w:r w:rsidRPr="00AD3D04">
        <w:rPr>
          <w:rFonts w:ascii="Times New Roman" w:hAnsi="Times New Roman" w:cs="Times New Roman"/>
          <w:sz w:val="24"/>
          <w:szCs w:val="24"/>
          <w:lang w:val="sr-Cyrl-CS"/>
        </w:rPr>
        <w:t xml:space="preserve">Иване Митић (197 страница </w:t>
      </w:r>
      <w:r w:rsidRPr="00AD3D04">
        <w:rPr>
          <w:rFonts w:ascii="Times New Roman" w:hAnsi="Times New Roman" w:cs="Times New Roman"/>
          <w:sz w:val="24"/>
          <w:szCs w:val="24"/>
          <w:lang w:val="sr-Latn-CS"/>
        </w:rPr>
        <w:t>single</w:t>
      </w:r>
      <w:r w:rsidRPr="00AD3D04">
        <w:rPr>
          <w:rFonts w:ascii="Times New Roman" w:hAnsi="Times New Roman" w:cs="Times New Roman"/>
          <w:sz w:val="24"/>
          <w:szCs w:val="24"/>
          <w:lang w:val="sr-Cyrl-CS"/>
        </w:rPr>
        <w:t xml:space="preserve"> прореда), садржи </w:t>
      </w:r>
      <w:r w:rsidRPr="00AD3D04">
        <w:rPr>
          <w:rFonts w:ascii="Times New Roman" w:hAnsi="Times New Roman" w:cs="Times New Roman"/>
          <w:sz w:val="24"/>
          <w:szCs w:val="24"/>
          <w:lang w:val="sr-Latn-CS"/>
        </w:rPr>
        <w:t xml:space="preserve">пет </w:t>
      </w:r>
      <w:r w:rsidRPr="00AD3D04">
        <w:rPr>
          <w:rFonts w:ascii="Times New Roman" w:hAnsi="Times New Roman" w:cs="Times New Roman"/>
          <w:sz w:val="24"/>
          <w:szCs w:val="24"/>
          <w:lang w:val="sr-Cyrl-CS"/>
        </w:rPr>
        <w:t>поглавља</w:t>
      </w:r>
      <w:r w:rsidR="00A555C7" w:rsidRPr="00AD3D04">
        <w:rPr>
          <w:rFonts w:ascii="Times New Roman" w:hAnsi="Times New Roman" w:cs="Times New Roman"/>
          <w:sz w:val="24"/>
          <w:szCs w:val="24"/>
          <w:lang w:val="sr-Cyrl-CS"/>
        </w:rPr>
        <w:t xml:space="preserve"> у којима се теоријски разматра тема</w:t>
      </w:r>
      <w:r w:rsidRPr="00AD3D04">
        <w:rPr>
          <w:rFonts w:ascii="Times New Roman" w:hAnsi="Times New Roman" w:cs="Times New Roman"/>
          <w:sz w:val="24"/>
          <w:szCs w:val="24"/>
          <w:lang w:val="sr-Cyrl-CS"/>
        </w:rPr>
        <w:t xml:space="preserve">: </w:t>
      </w:r>
      <w:r w:rsidRPr="00AD3D04">
        <w:rPr>
          <w:rFonts w:ascii="Times New Roman" w:hAnsi="Times New Roman" w:cs="Times New Roman"/>
          <w:i/>
          <w:sz w:val="24"/>
          <w:szCs w:val="24"/>
          <w:lang w:val="sr-Cyrl-CS"/>
        </w:rPr>
        <w:t xml:space="preserve">Увод </w:t>
      </w:r>
      <w:r w:rsidRPr="00AD3D04">
        <w:rPr>
          <w:rFonts w:ascii="Times New Roman" w:hAnsi="Times New Roman" w:cs="Times New Roman"/>
          <w:sz w:val="24"/>
          <w:szCs w:val="24"/>
          <w:lang w:val="sr-Cyrl-CS"/>
        </w:rPr>
        <w:t xml:space="preserve">(1‒11), </w:t>
      </w:r>
      <w:r w:rsidRPr="00AD3D04">
        <w:rPr>
          <w:rFonts w:ascii="Times New Roman" w:hAnsi="Times New Roman" w:cs="Times New Roman"/>
          <w:i/>
          <w:sz w:val="24"/>
          <w:szCs w:val="24"/>
          <w:lang w:val="sr-Cyrl-CS"/>
        </w:rPr>
        <w:t xml:space="preserve">Теоријско-методолошко поглавље </w:t>
      </w:r>
      <w:r w:rsidRPr="00AD3D04">
        <w:rPr>
          <w:rFonts w:ascii="Times New Roman" w:hAnsi="Times New Roman" w:cs="Times New Roman"/>
          <w:sz w:val="24"/>
          <w:szCs w:val="24"/>
          <w:lang w:val="sr-Cyrl-CS"/>
        </w:rPr>
        <w:t xml:space="preserve">(12‒58), </w:t>
      </w:r>
      <w:r w:rsidRPr="00AD3D04">
        <w:rPr>
          <w:rFonts w:ascii="Times New Roman" w:hAnsi="Times New Roman" w:cs="Times New Roman"/>
          <w:i/>
          <w:sz w:val="24"/>
          <w:szCs w:val="24"/>
          <w:lang w:val="sr-Cyrl-CS"/>
        </w:rPr>
        <w:t xml:space="preserve">О конруенцији предиката са дисјунктивним субјектом </w:t>
      </w:r>
      <w:r w:rsidRPr="00AD3D04">
        <w:rPr>
          <w:rFonts w:ascii="Times New Roman" w:hAnsi="Times New Roman" w:cs="Times New Roman"/>
          <w:sz w:val="24"/>
          <w:szCs w:val="24"/>
          <w:lang w:val="sr-Cyrl-CS"/>
        </w:rPr>
        <w:t xml:space="preserve">(59‒104), </w:t>
      </w:r>
      <w:r w:rsidRPr="00AD3D04">
        <w:rPr>
          <w:rFonts w:ascii="Times New Roman" w:hAnsi="Times New Roman" w:cs="Times New Roman"/>
          <w:i/>
          <w:sz w:val="24"/>
          <w:szCs w:val="24"/>
          <w:lang w:val="sr-Cyrl-CS"/>
        </w:rPr>
        <w:t>Теоријске импликације</w:t>
      </w:r>
      <w:r w:rsidRPr="00AD3D04">
        <w:rPr>
          <w:rFonts w:ascii="Times New Roman" w:hAnsi="Times New Roman" w:cs="Times New Roman"/>
          <w:sz w:val="24"/>
          <w:szCs w:val="24"/>
          <w:lang w:val="sr-Cyrl-CS"/>
        </w:rPr>
        <w:t xml:space="preserve"> (105‒</w:t>
      </w:r>
      <w:r w:rsidR="00A555C7" w:rsidRPr="00AD3D04">
        <w:rPr>
          <w:rFonts w:ascii="Times New Roman" w:hAnsi="Times New Roman" w:cs="Times New Roman"/>
          <w:sz w:val="24"/>
          <w:szCs w:val="24"/>
          <w:lang w:val="sr-Cyrl-CS"/>
        </w:rPr>
        <w:t xml:space="preserve">120), </w:t>
      </w:r>
      <w:r w:rsidR="00A555C7" w:rsidRPr="00AD3D04">
        <w:rPr>
          <w:rFonts w:ascii="Times New Roman" w:hAnsi="Times New Roman" w:cs="Times New Roman"/>
          <w:i/>
          <w:sz w:val="24"/>
          <w:szCs w:val="24"/>
          <w:lang w:val="sr-Cyrl-CS"/>
        </w:rPr>
        <w:t xml:space="preserve">Закључак </w:t>
      </w:r>
      <w:r w:rsidR="00A555C7" w:rsidRPr="00AD3D04">
        <w:rPr>
          <w:rFonts w:ascii="Times New Roman" w:hAnsi="Times New Roman" w:cs="Times New Roman"/>
          <w:sz w:val="24"/>
          <w:szCs w:val="24"/>
          <w:lang w:val="sr-Cyrl-CS"/>
        </w:rPr>
        <w:t xml:space="preserve">(121‒126, те два поглавља која представљају анализирани материјал: </w:t>
      </w:r>
      <w:r w:rsidR="00A555C7" w:rsidRPr="00AD3D04">
        <w:rPr>
          <w:rFonts w:ascii="Times New Roman" w:hAnsi="Times New Roman" w:cs="Times New Roman"/>
          <w:i/>
          <w:sz w:val="24"/>
          <w:szCs w:val="24"/>
          <w:lang w:val="sr-Cyrl-CS"/>
        </w:rPr>
        <w:t>Додатак ‒ експериментални материјал</w:t>
      </w:r>
      <w:r w:rsidR="00A555C7" w:rsidRPr="00AD3D04">
        <w:rPr>
          <w:rFonts w:ascii="Times New Roman" w:hAnsi="Times New Roman" w:cs="Times New Roman"/>
          <w:sz w:val="24"/>
          <w:szCs w:val="24"/>
          <w:lang w:val="sr-Cyrl-CS"/>
        </w:rPr>
        <w:t xml:space="preserve"> (143‒174) и </w:t>
      </w:r>
      <w:r w:rsidR="00A555C7" w:rsidRPr="00AD3D04">
        <w:rPr>
          <w:rFonts w:ascii="Times New Roman" w:hAnsi="Times New Roman" w:cs="Times New Roman"/>
          <w:i/>
          <w:sz w:val="24"/>
          <w:szCs w:val="24"/>
          <w:lang w:val="sr-Cyrl-CS"/>
        </w:rPr>
        <w:t xml:space="preserve">Примери ексцерпирани из корпуса </w:t>
      </w:r>
      <w:r w:rsidR="003E61ED" w:rsidRPr="00AD3D04">
        <w:rPr>
          <w:rFonts w:ascii="Times New Roman" w:hAnsi="Times New Roman" w:cs="Times New Roman"/>
          <w:sz w:val="24"/>
          <w:szCs w:val="24"/>
          <w:lang w:val="sr-Cyrl-CS"/>
        </w:rPr>
        <w:t>Срв</w:t>
      </w:r>
      <w:r w:rsidR="00A555C7" w:rsidRPr="00AD3D04">
        <w:rPr>
          <w:rFonts w:ascii="Times New Roman" w:hAnsi="Times New Roman" w:cs="Times New Roman"/>
          <w:sz w:val="24"/>
          <w:szCs w:val="24"/>
          <w:lang w:val="sr-Cyrl-CS"/>
        </w:rPr>
        <w:t>ак</w:t>
      </w:r>
      <w:r w:rsidR="00A555C7" w:rsidRPr="00AD3D04">
        <w:rPr>
          <w:rFonts w:ascii="Times New Roman" w:hAnsi="Times New Roman" w:cs="Times New Roman"/>
          <w:i/>
          <w:sz w:val="24"/>
          <w:szCs w:val="24"/>
          <w:lang w:val="sr-Cyrl-CS"/>
        </w:rPr>
        <w:t xml:space="preserve"> разврстани према условима </w:t>
      </w:r>
      <w:r w:rsidR="00A555C7" w:rsidRPr="00AD3D04">
        <w:rPr>
          <w:rFonts w:ascii="Times New Roman" w:hAnsi="Times New Roman" w:cs="Times New Roman"/>
          <w:sz w:val="24"/>
          <w:szCs w:val="24"/>
          <w:lang w:val="sr-Cyrl-CS"/>
        </w:rPr>
        <w:t>(175‒182)</w:t>
      </w:r>
      <w:r w:rsidRPr="00AD3D04">
        <w:rPr>
          <w:rFonts w:ascii="Times New Roman" w:hAnsi="Times New Roman" w:cs="Times New Roman"/>
          <w:sz w:val="24"/>
          <w:szCs w:val="24"/>
          <w:lang w:val="sr-Cyrl-CS"/>
        </w:rPr>
        <w:t xml:space="preserve">, а уз њих и </w:t>
      </w:r>
      <w:r w:rsidR="00A555C7" w:rsidRPr="00AD3D04">
        <w:rPr>
          <w:rFonts w:ascii="Times New Roman" w:hAnsi="Times New Roman" w:cs="Times New Roman"/>
          <w:sz w:val="24"/>
          <w:szCs w:val="24"/>
          <w:lang w:val="sr-Cyrl-CS"/>
        </w:rPr>
        <w:t>она „техничка“ поглавља која су у научној књизи неопходна, а у која спадају:</w:t>
      </w:r>
      <w:r w:rsidRPr="00AD3D04">
        <w:rPr>
          <w:rFonts w:ascii="Times New Roman" w:hAnsi="Times New Roman" w:cs="Times New Roman"/>
          <w:sz w:val="24"/>
          <w:szCs w:val="24"/>
          <w:lang w:val="sr-Cyrl-CS"/>
        </w:rPr>
        <w:t xml:space="preserve"> </w:t>
      </w:r>
      <w:r w:rsidRPr="00AD3D04">
        <w:rPr>
          <w:rFonts w:ascii="Times New Roman" w:hAnsi="Times New Roman" w:cs="Times New Roman"/>
          <w:i/>
          <w:sz w:val="24"/>
          <w:szCs w:val="24"/>
          <w:lang w:val="sr-Cyrl-CS"/>
        </w:rPr>
        <w:t xml:space="preserve">Литература </w:t>
      </w:r>
      <w:r w:rsidRPr="00AD3D04">
        <w:rPr>
          <w:rFonts w:ascii="Times New Roman" w:hAnsi="Times New Roman" w:cs="Times New Roman"/>
          <w:sz w:val="24"/>
          <w:szCs w:val="24"/>
          <w:lang w:val="sr-Cyrl-CS"/>
        </w:rPr>
        <w:t xml:space="preserve">(127‒140) и   </w:t>
      </w:r>
      <w:r w:rsidRPr="00AD3D04">
        <w:rPr>
          <w:rFonts w:ascii="Times New Roman" w:hAnsi="Times New Roman" w:cs="Times New Roman"/>
          <w:i/>
          <w:sz w:val="24"/>
          <w:szCs w:val="24"/>
          <w:lang w:val="sr-Cyrl-CS"/>
        </w:rPr>
        <w:t>Извори</w:t>
      </w:r>
      <w:r w:rsidRPr="00AD3D04">
        <w:rPr>
          <w:rFonts w:ascii="Times New Roman" w:hAnsi="Times New Roman" w:cs="Times New Roman"/>
          <w:sz w:val="24"/>
          <w:szCs w:val="24"/>
          <w:lang w:val="sr-Cyrl-CS"/>
        </w:rPr>
        <w:t xml:space="preserve"> (141‒142),  </w:t>
      </w:r>
      <w:r w:rsidRPr="00AD3D04">
        <w:rPr>
          <w:rFonts w:ascii="Times New Roman" w:hAnsi="Times New Roman" w:cs="Times New Roman"/>
          <w:i/>
          <w:sz w:val="24"/>
          <w:szCs w:val="24"/>
          <w:lang w:val="sr-Cyrl-CS"/>
        </w:rPr>
        <w:t xml:space="preserve">Индекс појмова </w:t>
      </w:r>
      <w:r w:rsidR="00A555C7" w:rsidRPr="00AD3D04">
        <w:rPr>
          <w:rFonts w:ascii="Times New Roman" w:hAnsi="Times New Roman" w:cs="Times New Roman"/>
          <w:sz w:val="24"/>
          <w:szCs w:val="24"/>
          <w:lang w:val="sr-Cyrl-CS"/>
        </w:rPr>
        <w:t xml:space="preserve">и </w:t>
      </w:r>
      <w:r w:rsidRPr="00AD3D04">
        <w:rPr>
          <w:rFonts w:ascii="Times New Roman" w:hAnsi="Times New Roman" w:cs="Times New Roman"/>
          <w:i/>
          <w:sz w:val="24"/>
          <w:szCs w:val="24"/>
          <w:lang w:val="sr-Cyrl-CS"/>
        </w:rPr>
        <w:t>Индекс аутора.</w:t>
      </w:r>
      <w:r w:rsidRPr="00AD3D04">
        <w:rPr>
          <w:rFonts w:ascii="Times New Roman" w:hAnsi="Times New Roman" w:cs="Times New Roman"/>
          <w:sz w:val="24"/>
          <w:szCs w:val="24"/>
          <w:lang w:val="sr-Cyrl-CS"/>
        </w:rPr>
        <w:t xml:space="preserve">  </w:t>
      </w:r>
    </w:p>
    <w:p w:rsidR="00C44E07" w:rsidRPr="00AD3D04" w:rsidRDefault="00FA10C0" w:rsidP="00C44E07">
      <w:pPr>
        <w:spacing w:after="120" w:line="240" w:lineRule="auto"/>
        <w:ind w:firstLine="720"/>
        <w:jc w:val="both"/>
        <w:rPr>
          <w:rFonts w:ascii="Times New Roman" w:hAnsi="Times New Roman"/>
          <w:iCs/>
          <w:color w:val="000000"/>
          <w:sz w:val="24"/>
          <w:szCs w:val="24"/>
          <w:lang w:val="sr-Cyrl-RS"/>
        </w:rPr>
      </w:pPr>
      <w:r w:rsidRPr="00AD3D04">
        <w:rPr>
          <w:rFonts w:ascii="Times New Roman" w:hAnsi="Times New Roman" w:cs="Times New Roman"/>
          <w:sz w:val="24"/>
          <w:szCs w:val="24"/>
          <w:lang w:val="sr-Cyrl-CS"/>
        </w:rPr>
        <w:t xml:space="preserve">У уводном дијелу </w:t>
      </w:r>
      <w:r w:rsidR="00847F27" w:rsidRPr="00AD3D04">
        <w:rPr>
          <w:rFonts w:ascii="Times New Roman" w:hAnsi="Times New Roman" w:cs="Times New Roman"/>
          <w:sz w:val="24"/>
          <w:szCs w:val="24"/>
          <w:lang w:val="sr-Cyrl-CS"/>
        </w:rPr>
        <w:t xml:space="preserve">ауторка </w:t>
      </w:r>
      <w:r w:rsidRPr="00AD3D04">
        <w:rPr>
          <w:rFonts w:ascii="Times New Roman" w:hAnsi="Times New Roman" w:cs="Times New Roman"/>
          <w:sz w:val="24"/>
          <w:szCs w:val="24"/>
          <w:lang w:val="sr-Cyrl-CS"/>
        </w:rPr>
        <w:t xml:space="preserve">образлаже проблем конгруенције </w:t>
      </w:r>
      <w:r w:rsidR="00847F27" w:rsidRPr="00AD3D04">
        <w:rPr>
          <w:rFonts w:ascii="Times New Roman" w:hAnsi="Times New Roman" w:cs="Times New Roman"/>
          <w:sz w:val="24"/>
          <w:szCs w:val="24"/>
          <w:lang w:val="sr-Cyrl-CS"/>
        </w:rPr>
        <w:t>чланова субјекатске дисјунктивне синтагме</w:t>
      </w:r>
      <w:r w:rsidRPr="00AD3D04">
        <w:rPr>
          <w:rFonts w:ascii="Times New Roman" w:hAnsi="Times New Roman" w:cs="Times New Roman"/>
          <w:sz w:val="24"/>
          <w:szCs w:val="24"/>
          <w:lang w:val="sr-Cyrl-CS"/>
        </w:rPr>
        <w:t xml:space="preserve"> </w:t>
      </w:r>
      <w:r w:rsidR="00847F27" w:rsidRPr="00AD3D04">
        <w:rPr>
          <w:rFonts w:ascii="Times New Roman" w:hAnsi="Times New Roman" w:cs="Times New Roman"/>
          <w:sz w:val="24"/>
          <w:szCs w:val="24"/>
          <w:lang w:val="sr-Cyrl-CS"/>
        </w:rPr>
        <w:t>са предикатом</w:t>
      </w:r>
      <w:r w:rsidRPr="00AD3D04">
        <w:rPr>
          <w:rFonts w:ascii="Times New Roman" w:hAnsi="Times New Roman"/>
          <w:sz w:val="24"/>
          <w:szCs w:val="24"/>
        </w:rPr>
        <w:t xml:space="preserve">, </w:t>
      </w:r>
      <w:r w:rsidR="00847F27" w:rsidRPr="00AD3D04">
        <w:rPr>
          <w:rFonts w:ascii="Times New Roman" w:hAnsi="Times New Roman"/>
          <w:sz w:val="24"/>
          <w:szCs w:val="24"/>
          <w:lang w:val="sr-Cyrl-RS"/>
        </w:rPr>
        <w:t>при чему се ради о синтагматским члановима који се међусобно разликују у роду и/или броју. Полазећи од резултата претходних истраживања која се односе на слагање предиката са координираном субјекатском синтагмом, у оквиру којих су издвојени типови слагања  као</w:t>
      </w:r>
      <w:r w:rsidR="00996EB2" w:rsidRPr="00AD3D04">
        <w:rPr>
          <w:rFonts w:ascii="Times New Roman" w:hAnsi="Times New Roman"/>
          <w:sz w:val="24"/>
          <w:szCs w:val="24"/>
          <w:lang w:val="sr-Cyrl-RS"/>
        </w:rPr>
        <w:t xml:space="preserve"> што су</w:t>
      </w:r>
      <w:r w:rsidR="00847F27" w:rsidRPr="00AD3D04">
        <w:rPr>
          <w:rFonts w:ascii="Times New Roman" w:hAnsi="Times New Roman"/>
          <w:sz w:val="24"/>
          <w:szCs w:val="24"/>
          <w:lang w:val="sr-Cyrl-RS"/>
        </w:rPr>
        <w:t xml:space="preserve"> </w:t>
      </w:r>
      <w:r w:rsidR="00847F27" w:rsidRPr="00AD3D04">
        <w:rPr>
          <w:rFonts w:ascii="Times New Roman" w:hAnsi="Times New Roman"/>
          <w:i/>
          <w:sz w:val="24"/>
          <w:szCs w:val="24"/>
          <w:lang w:val="sr-Cyrl-RS"/>
        </w:rPr>
        <w:t>хијерархијско</w:t>
      </w:r>
      <w:r w:rsidR="00847F27" w:rsidRPr="00AD3D04">
        <w:rPr>
          <w:rFonts w:ascii="Times New Roman" w:hAnsi="Times New Roman"/>
          <w:sz w:val="24"/>
          <w:szCs w:val="24"/>
          <w:lang w:val="sr-Cyrl-RS"/>
        </w:rPr>
        <w:t xml:space="preserve"> слагање </w:t>
      </w:r>
      <w:r w:rsidR="002E6C0C" w:rsidRPr="00AD3D04">
        <w:rPr>
          <w:rFonts w:ascii="Times New Roman" w:hAnsi="Times New Roman"/>
          <w:sz w:val="24"/>
          <w:szCs w:val="24"/>
          <w:lang w:val="sr-Cyrl-RS"/>
        </w:rPr>
        <w:t xml:space="preserve">(слагање </w:t>
      </w:r>
      <w:r w:rsidR="00847F27" w:rsidRPr="00AD3D04">
        <w:rPr>
          <w:rFonts w:ascii="Times New Roman" w:hAnsi="Times New Roman"/>
          <w:sz w:val="24"/>
          <w:szCs w:val="24"/>
          <w:lang w:val="sr-Cyrl-RS"/>
        </w:rPr>
        <w:t>предиката са првим чланом синтагме</w:t>
      </w:r>
      <w:r w:rsidR="002E6C0C" w:rsidRPr="00AD3D04">
        <w:rPr>
          <w:rFonts w:ascii="Times New Roman" w:hAnsi="Times New Roman"/>
          <w:sz w:val="24"/>
          <w:szCs w:val="24"/>
          <w:lang w:val="sr-Cyrl-RS"/>
        </w:rPr>
        <w:t>)</w:t>
      </w:r>
      <w:r w:rsidR="00847F27" w:rsidRPr="00AD3D04">
        <w:rPr>
          <w:rFonts w:ascii="Times New Roman" w:hAnsi="Times New Roman"/>
          <w:sz w:val="24"/>
          <w:szCs w:val="24"/>
          <w:lang w:val="sr-Cyrl-RS"/>
        </w:rPr>
        <w:t xml:space="preserve">, </w:t>
      </w:r>
      <w:r w:rsidR="002E6C0C" w:rsidRPr="00AD3D04">
        <w:rPr>
          <w:rFonts w:ascii="Times New Roman" w:hAnsi="Times New Roman"/>
          <w:i/>
          <w:sz w:val="24"/>
          <w:szCs w:val="24"/>
          <w:lang w:val="sr-Cyrl-RS"/>
        </w:rPr>
        <w:t>линеарно</w:t>
      </w:r>
      <w:r w:rsidR="002E6C0C" w:rsidRPr="00AD3D04">
        <w:rPr>
          <w:rFonts w:ascii="Times New Roman" w:hAnsi="Times New Roman"/>
          <w:sz w:val="24"/>
          <w:szCs w:val="24"/>
          <w:lang w:val="sr-Cyrl-RS"/>
        </w:rPr>
        <w:t xml:space="preserve"> (слагање предиката </w:t>
      </w:r>
      <w:r w:rsidR="00847F27" w:rsidRPr="00AD3D04">
        <w:rPr>
          <w:rFonts w:ascii="Times New Roman" w:hAnsi="Times New Roman"/>
          <w:sz w:val="24"/>
          <w:szCs w:val="24"/>
          <w:lang w:val="sr-Cyrl-RS"/>
        </w:rPr>
        <w:t xml:space="preserve">са посљедњим чланом </w:t>
      </w:r>
      <w:r w:rsidR="002E6C0C" w:rsidRPr="00AD3D04">
        <w:rPr>
          <w:rFonts w:ascii="Times New Roman" w:hAnsi="Times New Roman"/>
          <w:sz w:val="24"/>
          <w:szCs w:val="24"/>
          <w:lang w:val="sr-Cyrl-RS"/>
        </w:rPr>
        <w:t>субјекатске синтагме)</w:t>
      </w:r>
      <w:r w:rsidR="00847F27" w:rsidRPr="00AD3D04">
        <w:rPr>
          <w:rFonts w:ascii="Times New Roman" w:hAnsi="Times New Roman"/>
          <w:sz w:val="24"/>
          <w:szCs w:val="24"/>
          <w:lang w:val="sr-Cyrl-RS"/>
        </w:rPr>
        <w:t xml:space="preserve">, </w:t>
      </w:r>
      <w:r w:rsidR="002E6C0C" w:rsidRPr="00AD3D04">
        <w:rPr>
          <w:rFonts w:ascii="Times New Roman" w:hAnsi="Times New Roman"/>
          <w:i/>
          <w:color w:val="000000"/>
          <w:sz w:val="24"/>
          <w:szCs w:val="24"/>
          <w:lang w:val="sr-Cyrl-RS"/>
        </w:rPr>
        <w:t>комбиновано</w:t>
      </w:r>
      <w:r w:rsidR="002E6C0C" w:rsidRPr="00AD3D04">
        <w:rPr>
          <w:rFonts w:ascii="Times New Roman" w:hAnsi="Times New Roman"/>
          <w:color w:val="000000"/>
          <w:sz w:val="24"/>
          <w:szCs w:val="24"/>
          <w:lang w:val="sr-Cyrl-RS"/>
        </w:rPr>
        <w:t xml:space="preserve"> (слагање са </w:t>
      </w:r>
      <w:r w:rsidR="00847F27" w:rsidRPr="00AD3D04">
        <w:rPr>
          <w:rFonts w:ascii="Times New Roman" w:hAnsi="Times New Roman"/>
          <w:color w:val="000000"/>
          <w:sz w:val="24"/>
          <w:szCs w:val="24"/>
          <w:lang w:val="sr-Cyrl-RS"/>
        </w:rPr>
        <w:t>различитим контролорима у роду и броју</w:t>
      </w:r>
      <w:r w:rsidR="002E6C0C" w:rsidRPr="00AD3D04">
        <w:rPr>
          <w:rFonts w:ascii="Times New Roman" w:hAnsi="Times New Roman"/>
          <w:color w:val="000000"/>
          <w:sz w:val="24"/>
          <w:szCs w:val="24"/>
          <w:lang w:val="sr-Cyrl-RS"/>
        </w:rPr>
        <w:t xml:space="preserve">) и </w:t>
      </w:r>
      <w:r w:rsidR="002E6C0C" w:rsidRPr="00AD3D04">
        <w:rPr>
          <w:rFonts w:ascii="Times New Roman" w:hAnsi="Times New Roman"/>
          <w:i/>
          <w:color w:val="000000"/>
          <w:sz w:val="24"/>
          <w:szCs w:val="24"/>
          <w:lang w:val="sr-Cyrl-RS"/>
        </w:rPr>
        <w:t>разријешено</w:t>
      </w:r>
      <w:r w:rsidR="002E6C0C" w:rsidRPr="00AD3D04">
        <w:rPr>
          <w:rFonts w:ascii="Times New Roman" w:hAnsi="Times New Roman"/>
          <w:color w:val="000000"/>
          <w:sz w:val="24"/>
          <w:szCs w:val="24"/>
          <w:lang w:val="sr-Cyrl-RS"/>
        </w:rPr>
        <w:t xml:space="preserve"> (слагање у мушком роду</w:t>
      </w:r>
      <w:r w:rsidR="00847F27" w:rsidRPr="00AD3D04">
        <w:rPr>
          <w:rFonts w:ascii="Times New Roman" w:hAnsi="Times New Roman"/>
          <w:color w:val="000000"/>
          <w:sz w:val="24"/>
          <w:szCs w:val="24"/>
          <w:lang w:val="sr-Cyrl-RS"/>
        </w:rPr>
        <w:t xml:space="preserve"> множине</w:t>
      </w:r>
      <w:r w:rsidR="002E6C0C" w:rsidRPr="00AD3D04">
        <w:rPr>
          <w:rFonts w:ascii="Times New Roman" w:hAnsi="Times New Roman"/>
          <w:color w:val="000000"/>
          <w:sz w:val="24"/>
          <w:szCs w:val="24"/>
          <w:lang w:val="sr-Cyrl-RS"/>
        </w:rPr>
        <w:t>)</w:t>
      </w:r>
      <w:r w:rsidR="00847F27" w:rsidRPr="00AD3D04">
        <w:rPr>
          <w:rFonts w:ascii="Times New Roman" w:hAnsi="Times New Roman"/>
          <w:color w:val="000000"/>
          <w:sz w:val="24"/>
          <w:szCs w:val="24"/>
          <w:lang w:val="sr-Cyrl-RS"/>
        </w:rPr>
        <w:t xml:space="preserve"> –</w:t>
      </w:r>
      <w:r w:rsidR="00F37D71" w:rsidRPr="00AD3D04">
        <w:rPr>
          <w:rFonts w:ascii="Times New Roman" w:hAnsi="Times New Roman"/>
          <w:color w:val="000000"/>
          <w:sz w:val="24"/>
          <w:szCs w:val="24"/>
          <w:lang w:val="sr-Cyrl-RS"/>
        </w:rPr>
        <w:t xml:space="preserve"> ауторка, као једно од циљних, поставља питање да ли су сви ти обрасци слагања заступље</w:t>
      </w:r>
      <w:r w:rsidR="00847F27" w:rsidRPr="00AD3D04">
        <w:rPr>
          <w:rFonts w:ascii="Times New Roman" w:hAnsi="Times New Roman"/>
          <w:color w:val="000000"/>
          <w:sz w:val="24"/>
          <w:szCs w:val="24"/>
          <w:lang w:val="sr-Cyrl-RS"/>
        </w:rPr>
        <w:t>ни и у дисјункцији</w:t>
      </w:r>
      <w:r w:rsidR="00F37D71" w:rsidRPr="00AD3D04">
        <w:rPr>
          <w:rFonts w:ascii="Times New Roman" w:hAnsi="Times New Roman"/>
          <w:color w:val="000000"/>
          <w:sz w:val="24"/>
          <w:szCs w:val="24"/>
          <w:lang w:val="sr-Cyrl-RS"/>
        </w:rPr>
        <w:t xml:space="preserve">. Образлажући циљеве и хипотезе најављује да ће истраживање обухватити граматичке карактеристике </w:t>
      </w:r>
      <w:r w:rsidR="00C46923" w:rsidRPr="00AD3D04">
        <w:rPr>
          <w:rFonts w:ascii="Times New Roman" w:hAnsi="Times New Roman"/>
          <w:color w:val="000000"/>
          <w:sz w:val="24"/>
          <w:szCs w:val="24"/>
          <w:lang w:val="sr-Cyrl-RS"/>
        </w:rPr>
        <w:t xml:space="preserve">рода и броја </w:t>
      </w:r>
      <w:r w:rsidR="00F37D71" w:rsidRPr="00AD3D04">
        <w:rPr>
          <w:rFonts w:ascii="Times New Roman" w:hAnsi="Times New Roman"/>
          <w:color w:val="000000"/>
          <w:sz w:val="24"/>
          <w:szCs w:val="24"/>
          <w:lang w:val="sr-Cyrl-RS"/>
        </w:rPr>
        <w:t>координираних чланова</w:t>
      </w:r>
      <w:r w:rsidR="00C46923" w:rsidRPr="00AD3D04">
        <w:rPr>
          <w:rFonts w:ascii="Times New Roman" w:hAnsi="Times New Roman"/>
          <w:color w:val="000000"/>
          <w:sz w:val="24"/>
          <w:szCs w:val="24"/>
          <w:lang w:val="sr-Cyrl-RS"/>
        </w:rPr>
        <w:t>, линеарну и хијерархијску дистанцу, као и семантичке карактеристике. У суштини, као примарни циљ истражива</w:t>
      </w:r>
      <w:r w:rsidR="00996EB2" w:rsidRPr="00AD3D04">
        <w:rPr>
          <w:rFonts w:ascii="Times New Roman" w:hAnsi="Times New Roman"/>
          <w:color w:val="000000"/>
          <w:sz w:val="24"/>
          <w:szCs w:val="24"/>
          <w:lang w:val="sr-Cyrl-RS"/>
        </w:rPr>
        <w:t>ња у монографији се поставља утв</w:t>
      </w:r>
      <w:r w:rsidR="00C46923" w:rsidRPr="00AD3D04">
        <w:rPr>
          <w:rFonts w:ascii="Times New Roman" w:hAnsi="Times New Roman"/>
          <w:color w:val="000000"/>
          <w:sz w:val="24"/>
          <w:szCs w:val="24"/>
          <w:lang w:val="sr-Cyrl-RS"/>
        </w:rPr>
        <w:t>рђивање фактора који утичу на процес слагања предиката са дисјунктивном субјекатском синтагмом, што се утврђује, на једној страни, на основу експеримента</w:t>
      </w:r>
      <w:r w:rsidR="003E61ED" w:rsidRPr="00AD3D04">
        <w:rPr>
          <w:rFonts w:ascii="Times New Roman" w:hAnsi="Times New Roman"/>
          <w:color w:val="000000"/>
          <w:sz w:val="24"/>
          <w:szCs w:val="24"/>
          <w:lang w:val="sr-Cyrl-RS"/>
        </w:rPr>
        <w:t xml:space="preserve"> </w:t>
      </w:r>
      <w:r w:rsidR="00C46923" w:rsidRPr="00AD3D04">
        <w:rPr>
          <w:rFonts w:ascii="Times New Roman" w:hAnsi="Times New Roman"/>
          <w:color w:val="000000"/>
          <w:sz w:val="24"/>
          <w:szCs w:val="24"/>
          <w:lang w:val="sr-Cyrl-RS"/>
        </w:rPr>
        <w:t xml:space="preserve">који показује како су граматичност и прихватљивост разних образаца слагања  вредновали </w:t>
      </w:r>
      <w:r w:rsidR="003E61ED" w:rsidRPr="00AD3D04">
        <w:rPr>
          <w:rFonts w:ascii="Times New Roman" w:hAnsi="Times New Roman"/>
          <w:color w:val="000000"/>
          <w:sz w:val="24"/>
          <w:szCs w:val="24"/>
          <w:lang w:val="sr-Cyrl-RS"/>
        </w:rPr>
        <w:t>изворни говорници српског језика</w:t>
      </w:r>
      <w:r w:rsidR="00C46923" w:rsidRPr="00AD3D04">
        <w:rPr>
          <w:rFonts w:ascii="Times New Roman" w:hAnsi="Times New Roman"/>
          <w:color w:val="000000"/>
          <w:sz w:val="24"/>
          <w:szCs w:val="24"/>
          <w:lang w:val="sr-Cyrl-RS"/>
        </w:rPr>
        <w:t xml:space="preserve">, </w:t>
      </w:r>
      <w:r w:rsidR="003E61ED" w:rsidRPr="00AD3D04">
        <w:rPr>
          <w:rFonts w:ascii="Times New Roman" w:hAnsi="Times New Roman"/>
          <w:color w:val="000000"/>
          <w:sz w:val="24"/>
          <w:szCs w:val="24"/>
          <w:lang w:val="sr-Cyrl-RS"/>
        </w:rPr>
        <w:t xml:space="preserve"> </w:t>
      </w:r>
      <w:r w:rsidR="00C46923" w:rsidRPr="00AD3D04">
        <w:rPr>
          <w:rFonts w:ascii="Times New Roman" w:hAnsi="Times New Roman"/>
          <w:color w:val="000000"/>
          <w:sz w:val="24"/>
          <w:szCs w:val="24"/>
          <w:lang w:val="sr-Cyrl-RS"/>
        </w:rPr>
        <w:t xml:space="preserve">односно </w:t>
      </w:r>
      <w:r w:rsidR="003E61ED" w:rsidRPr="00AD3D04">
        <w:rPr>
          <w:rFonts w:ascii="Times New Roman" w:hAnsi="Times New Roman"/>
          <w:color w:val="000000"/>
          <w:sz w:val="24"/>
          <w:szCs w:val="24"/>
          <w:lang w:val="sr-Cyrl-RS"/>
        </w:rPr>
        <w:t>анализом прим</w:t>
      </w:r>
      <w:r w:rsidR="00C46923" w:rsidRPr="00AD3D04">
        <w:rPr>
          <w:rFonts w:ascii="Times New Roman" w:hAnsi="Times New Roman"/>
          <w:color w:val="000000"/>
          <w:sz w:val="24"/>
          <w:szCs w:val="24"/>
          <w:lang w:val="sr-Cyrl-RS"/>
        </w:rPr>
        <w:t>ј</w:t>
      </w:r>
      <w:r w:rsidR="003E61ED" w:rsidRPr="00AD3D04">
        <w:rPr>
          <w:rFonts w:ascii="Times New Roman" w:hAnsi="Times New Roman"/>
          <w:color w:val="000000"/>
          <w:sz w:val="24"/>
          <w:szCs w:val="24"/>
          <w:lang w:val="sr-Cyrl-RS"/>
        </w:rPr>
        <w:t xml:space="preserve">ера из </w:t>
      </w:r>
      <w:r w:rsidR="003E61ED" w:rsidRPr="00AD3D04">
        <w:rPr>
          <w:rFonts w:ascii="Times New Roman" w:hAnsi="Times New Roman"/>
          <w:i/>
          <w:iCs/>
          <w:color w:val="000000"/>
          <w:sz w:val="24"/>
          <w:szCs w:val="24"/>
          <w:lang w:val="sr-Cyrl-RS"/>
        </w:rPr>
        <w:t>Српског мрежног корпуса</w:t>
      </w:r>
      <w:r w:rsidR="00C46923" w:rsidRPr="00AD3D04">
        <w:rPr>
          <w:rFonts w:ascii="Times New Roman" w:hAnsi="Times New Roman"/>
          <w:iCs/>
          <w:color w:val="000000"/>
          <w:sz w:val="24"/>
          <w:szCs w:val="24"/>
          <w:lang w:val="sr-Cyrl-RS"/>
        </w:rPr>
        <w:t xml:space="preserve">, на другој страни, уз успостављање паралеле са сазнањима из граматика српског (српскохрватског) језика и литературе. </w:t>
      </w:r>
    </w:p>
    <w:p w:rsidR="003E61ED" w:rsidRPr="00AD3D04" w:rsidRDefault="00C44E07" w:rsidP="00E45A61">
      <w:pPr>
        <w:spacing w:after="120" w:line="240" w:lineRule="auto"/>
        <w:ind w:firstLine="720"/>
        <w:jc w:val="both"/>
        <w:rPr>
          <w:rFonts w:ascii="Times New Roman" w:hAnsi="Times New Roman"/>
          <w:sz w:val="24"/>
          <w:szCs w:val="24"/>
          <w:lang w:val="sr-Latn-RS"/>
        </w:rPr>
      </w:pPr>
      <w:r w:rsidRPr="00AD3D04">
        <w:rPr>
          <w:rFonts w:ascii="Times New Roman" w:eastAsia="Calibri" w:hAnsi="Times New Roman" w:cs="Times New Roman"/>
          <w:sz w:val="24"/>
          <w:szCs w:val="24"/>
        </w:rPr>
        <w:t>Друго</w:t>
      </w:r>
      <w:r w:rsidRPr="00AD3D04">
        <w:rPr>
          <w:rFonts w:ascii="Times New Roman" w:hAnsi="Times New Roman"/>
          <w:sz w:val="24"/>
          <w:szCs w:val="24"/>
        </w:rPr>
        <w:t xml:space="preserve">  поглављ</w:t>
      </w:r>
      <w:r w:rsidR="00996EB2" w:rsidRPr="00AD3D04">
        <w:rPr>
          <w:rFonts w:ascii="Times New Roman" w:hAnsi="Times New Roman"/>
          <w:sz w:val="24"/>
          <w:szCs w:val="24"/>
          <w:lang w:val="sr-Cyrl-RS"/>
        </w:rPr>
        <w:t>е</w:t>
      </w:r>
      <w:r w:rsidRPr="00AD3D04">
        <w:rPr>
          <w:rFonts w:ascii="Times New Roman" w:hAnsi="Times New Roman"/>
          <w:sz w:val="24"/>
          <w:szCs w:val="24"/>
        </w:rPr>
        <w:t xml:space="preserve"> (</w:t>
      </w:r>
      <w:r w:rsidR="00362A9F" w:rsidRPr="00AD3D04">
        <w:rPr>
          <w:rFonts w:ascii="Times New Roman" w:hAnsi="Times New Roman"/>
          <w:sz w:val="24"/>
          <w:szCs w:val="24"/>
        </w:rPr>
        <w:t>„</w:t>
      </w:r>
      <w:r w:rsidRPr="00AD3D04">
        <w:rPr>
          <w:rFonts w:ascii="Times New Roman" w:hAnsi="Times New Roman"/>
          <w:sz w:val="24"/>
          <w:szCs w:val="24"/>
        </w:rPr>
        <w:t>Т</w:t>
      </w:r>
      <w:r w:rsidRPr="00AD3D04">
        <w:rPr>
          <w:rFonts w:ascii="Times New Roman" w:eastAsia="Calibri" w:hAnsi="Times New Roman" w:cs="Times New Roman"/>
          <w:sz w:val="24"/>
          <w:szCs w:val="24"/>
        </w:rPr>
        <w:t>еоријско-методолошко поглавље</w:t>
      </w:r>
      <w:r w:rsidR="00362A9F" w:rsidRPr="00AD3D04">
        <w:rPr>
          <w:rFonts w:ascii="Times New Roman" w:hAnsi="Times New Roman"/>
          <w:sz w:val="24"/>
          <w:szCs w:val="24"/>
        </w:rPr>
        <w:t>“</w:t>
      </w:r>
      <w:r w:rsidRPr="00AD3D04">
        <w:rPr>
          <w:rFonts w:ascii="Times New Roman" w:hAnsi="Times New Roman"/>
          <w:sz w:val="24"/>
          <w:szCs w:val="24"/>
          <w:lang w:val="sr-Cyrl-RS"/>
        </w:rPr>
        <w:t>)</w:t>
      </w:r>
      <w:r w:rsidRPr="00AD3D04">
        <w:rPr>
          <w:rFonts w:ascii="Times New Roman" w:hAnsi="Times New Roman"/>
          <w:sz w:val="24"/>
          <w:szCs w:val="24"/>
        </w:rPr>
        <w:t xml:space="preserve"> под</w:t>
      </w:r>
      <w:r w:rsidRPr="00AD3D04">
        <w:rPr>
          <w:rFonts w:ascii="Times New Roman" w:hAnsi="Times New Roman"/>
          <w:sz w:val="24"/>
          <w:szCs w:val="24"/>
          <w:lang w:val="sr-Cyrl-RS"/>
        </w:rPr>
        <w:t>иј</w:t>
      </w:r>
      <w:r w:rsidRPr="00AD3D04">
        <w:rPr>
          <w:rFonts w:ascii="Times New Roman" w:hAnsi="Times New Roman"/>
          <w:sz w:val="24"/>
          <w:szCs w:val="24"/>
        </w:rPr>
        <w:t xml:space="preserve">ељено </w:t>
      </w:r>
      <w:r w:rsidRPr="00AD3D04">
        <w:rPr>
          <w:rFonts w:ascii="Times New Roman" w:hAnsi="Times New Roman"/>
          <w:sz w:val="24"/>
          <w:szCs w:val="24"/>
          <w:lang w:val="sr-Cyrl-RS"/>
        </w:rPr>
        <w:t xml:space="preserve">је </w:t>
      </w:r>
      <w:r w:rsidR="00362A9F" w:rsidRPr="00AD3D04">
        <w:rPr>
          <w:rFonts w:ascii="Times New Roman" w:hAnsi="Times New Roman"/>
          <w:sz w:val="24"/>
          <w:szCs w:val="24"/>
        </w:rPr>
        <w:t>у седам потпоглавља. У</w:t>
      </w:r>
      <w:r w:rsidRPr="00AD3D04">
        <w:rPr>
          <w:rFonts w:ascii="Times New Roman" w:eastAsia="Calibri" w:hAnsi="Times New Roman" w:cs="Times New Roman"/>
          <w:color w:val="000000"/>
          <w:sz w:val="24"/>
          <w:szCs w:val="24"/>
        </w:rPr>
        <w:t xml:space="preserve"> првом </w:t>
      </w:r>
      <w:r w:rsidRPr="00AD3D04">
        <w:rPr>
          <w:rFonts w:ascii="Times New Roman" w:hAnsi="Times New Roman"/>
          <w:color w:val="000000"/>
          <w:sz w:val="24"/>
          <w:szCs w:val="24"/>
        </w:rPr>
        <w:t>се описује</w:t>
      </w:r>
      <w:r w:rsidRPr="00AD3D04">
        <w:rPr>
          <w:rFonts w:ascii="Times New Roman" w:eastAsia="Calibri" w:hAnsi="Times New Roman" w:cs="Times New Roman"/>
          <w:color w:val="000000"/>
          <w:sz w:val="24"/>
          <w:szCs w:val="24"/>
        </w:rPr>
        <w:t xml:space="preserve"> прир</w:t>
      </w:r>
      <w:r w:rsidRPr="00AD3D04">
        <w:rPr>
          <w:rFonts w:ascii="Times New Roman" w:hAnsi="Times New Roman"/>
          <w:color w:val="000000"/>
          <w:sz w:val="24"/>
          <w:szCs w:val="24"/>
        </w:rPr>
        <w:t>ода</w:t>
      </w:r>
      <w:r w:rsidRPr="00AD3D04">
        <w:rPr>
          <w:rFonts w:ascii="Times New Roman" w:eastAsia="Calibri" w:hAnsi="Times New Roman" w:cs="Times New Roman"/>
          <w:color w:val="000000"/>
          <w:sz w:val="24"/>
          <w:szCs w:val="24"/>
        </w:rPr>
        <w:t xml:space="preserve"> слагања предиката са дисјунктивним субјектом у српском језику, те д</w:t>
      </w:r>
      <w:r w:rsidRPr="00AD3D04">
        <w:rPr>
          <w:rFonts w:ascii="Times New Roman" w:hAnsi="Times New Roman"/>
          <w:color w:val="000000"/>
          <w:sz w:val="24"/>
          <w:szCs w:val="24"/>
        </w:rPr>
        <w:t>ефинише</w:t>
      </w:r>
      <w:r w:rsidRPr="00AD3D04">
        <w:rPr>
          <w:rFonts w:ascii="Times New Roman" w:eastAsia="Calibri" w:hAnsi="Times New Roman" w:cs="Times New Roman"/>
          <w:color w:val="000000"/>
          <w:sz w:val="24"/>
          <w:szCs w:val="24"/>
        </w:rPr>
        <w:t xml:space="preserve"> дисјунктивни субјекат. Дру</w:t>
      </w:r>
      <w:r w:rsidRPr="00AD3D04">
        <w:rPr>
          <w:rFonts w:ascii="Times New Roman" w:hAnsi="Times New Roman"/>
          <w:color w:val="000000"/>
          <w:sz w:val="24"/>
          <w:szCs w:val="24"/>
        </w:rPr>
        <w:t xml:space="preserve">го и треће потпоглавље </w:t>
      </w:r>
      <w:r w:rsidR="00996EB2" w:rsidRPr="00AD3D04">
        <w:rPr>
          <w:rFonts w:ascii="Times New Roman" w:eastAsia="Calibri" w:hAnsi="Times New Roman" w:cs="Times New Roman"/>
          <w:color w:val="000000"/>
          <w:sz w:val="24"/>
          <w:szCs w:val="24"/>
        </w:rPr>
        <w:t xml:space="preserve"> доносе преглед претходних, традиционално и формално усмјерених</w:t>
      </w:r>
      <w:r w:rsidRPr="00AD3D04">
        <w:rPr>
          <w:rFonts w:ascii="Times New Roman" w:eastAsia="Calibri" w:hAnsi="Times New Roman" w:cs="Times New Roman"/>
          <w:color w:val="000000"/>
          <w:sz w:val="24"/>
          <w:szCs w:val="24"/>
        </w:rPr>
        <w:t xml:space="preserve"> истраживања о </w:t>
      </w:r>
      <w:r w:rsidR="00996EB2" w:rsidRPr="00AD3D04">
        <w:rPr>
          <w:rFonts w:ascii="Times New Roman" w:eastAsia="Calibri" w:hAnsi="Times New Roman" w:cs="Times New Roman"/>
          <w:color w:val="000000"/>
          <w:sz w:val="24"/>
          <w:szCs w:val="24"/>
        </w:rPr>
        <w:t>слагању предиката са субјектом</w:t>
      </w:r>
      <w:r w:rsidRPr="00AD3D04">
        <w:rPr>
          <w:rFonts w:ascii="Times New Roman" w:hAnsi="Times New Roman"/>
          <w:color w:val="000000"/>
          <w:sz w:val="24"/>
          <w:szCs w:val="24"/>
        </w:rPr>
        <w:t xml:space="preserve">, а четврто </w:t>
      </w:r>
      <w:r w:rsidRPr="00AD3D04">
        <w:rPr>
          <w:rFonts w:ascii="Times New Roman" w:eastAsia="Calibri" w:hAnsi="Times New Roman" w:cs="Times New Roman"/>
          <w:color w:val="000000"/>
          <w:sz w:val="24"/>
          <w:szCs w:val="24"/>
        </w:rPr>
        <w:t xml:space="preserve"> разматра истраживања у којима се предикат слаже са различитим контролорима у роду и броју. У петом </w:t>
      </w:r>
      <w:r w:rsidRPr="00AD3D04">
        <w:rPr>
          <w:rFonts w:ascii="Times New Roman" w:hAnsi="Times New Roman"/>
          <w:color w:val="000000"/>
          <w:sz w:val="24"/>
          <w:szCs w:val="24"/>
        </w:rPr>
        <w:t xml:space="preserve">потпоглављу </w:t>
      </w:r>
      <w:r w:rsidR="00996EB2" w:rsidRPr="00AD3D04">
        <w:rPr>
          <w:rFonts w:ascii="Times New Roman" w:eastAsia="Calibri" w:hAnsi="Times New Roman" w:cs="Times New Roman"/>
          <w:color w:val="000000"/>
          <w:sz w:val="24"/>
          <w:szCs w:val="24"/>
        </w:rPr>
        <w:t>дата су претходн</w:t>
      </w:r>
      <w:r w:rsidRPr="00AD3D04">
        <w:rPr>
          <w:rFonts w:ascii="Times New Roman" w:eastAsia="Calibri" w:hAnsi="Times New Roman" w:cs="Times New Roman"/>
          <w:color w:val="000000"/>
          <w:sz w:val="24"/>
          <w:szCs w:val="24"/>
        </w:rPr>
        <w:t>а истраживања о слагању предиката са дисјунктивним субјектом, док су у шестом образложени предмет истраживања, те дефинисане хипотезе и предикције, а у седмом су представљене методе истраживања.</w:t>
      </w:r>
      <w:r w:rsidRPr="00AD3D04">
        <w:rPr>
          <w:rFonts w:ascii="Times New Roman" w:hAnsi="Times New Roman"/>
          <w:color w:val="000000"/>
          <w:sz w:val="24"/>
          <w:szCs w:val="24"/>
        </w:rPr>
        <w:t xml:space="preserve"> </w:t>
      </w:r>
      <w:r w:rsidR="00996EB2" w:rsidRPr="00AD3D04">
        <w:rPr>
          <w:rFonts w:ascii="Times New Roman" w:hAnsi="Times New Roman"/>
          <w:color w:val="000000"/>
          <w:sz w:val="24"/>
          <w:szCs w:val="24"/>
        </w:rPr>
        <w:t>У овом</w:t>
      </w:r>
      <w:r w:rsidR="004F4251" w:rsidRPr="00AD3D04">
        <w:rPr>
          <w:rFonts w:ascii="Times New Roman" w:hAnsi="Times New Roman"/>
          <w:color w:val="000000"/>
          <w:sz w:val="24"/>
          <w:szCs w:val="24"/>
        </w:rPr>
        <w:t xml:space="preserve"> поглављу</w:t>
      </w:r>
      <w:r w:rsidRPr="00AD3D04">
        <w:rPr>
          <w:rFonts w:ascii="Times New Roman" w:hAnsi="Times New Roman"/>
          <w:color w:val="000000"/>
          <w:sz w:val="24"/>
          <w:szCs w:val="24"/>
        </w:rPr>
        <w:t xml:space="preserve"> дефинишу се појмови који су </w:t>
      </w:r>
      <w:r w:rsidRPr="00AD3D04">
        <w:rPr>
          <w:rFonts w:ascii="Times New Roman" w:hAnsi="Times New Roman"/>
          <w:color w:val="000000"/>
          <w:sz w:val="24"/>
          <w:szCs w:val="24"/>
        </w:rPr>
        <w:lastRenderedPageBreak/>
        <w:t>употр</w:t>
      </w:r>
      <w:r w:rsidRPr="00AD3D04">
        <w:rPr>
          <w:rFonts w:ascii="Times New Roman" w:hAnsi="Times New Roman"/>
          <w:color w:val="000000"/>
          <w:sz w:val="24"/>
          <w:szCs w:val="24"/>
          <w:lang w:val="sr-Cyrl-RS"/>
        </w:rPr>
        <w:t>иј</w:t>
      </w:r>
      <w:r w:rsidRPr="00AD3D04">
        <w:rPr>
          <w:rFonts w:ascii="Times New Roman" w:hAnsi="Times New Roman"/>
          <w:color w:val="000000"/>
          <w:sz w:val="24"/>
          <w:szCs w:val="24"/>
        </w:rPr>
        <w:t>ебљени  у монографији и теоријск</w:t>
      </w:r>
      <w:r w:rsidR="004F4251" w:rsidRPr="00AD3D04">
        <w:rPr>
          <w:rFonts w:ascii="Times New Roman" w:hAnsi="Times New Roman"/>
          <w:color w:val="000000"/>
          <w:sz w:val="24"/>
          <w:szCs w:val="24"/>
        </w:rPr>
        <w:t xml:space="preserve">и образлаже испитивана појава. </w:t>
      </w:r>
      <w:r w:rsidRPr="00AD3D04">
        <w:rPr>
          <w:rFonts w:ascii="Times New Roman" w:hAnsi="Times New Roman"/>
          <w:color w:val="000000"/>
          <w:sz w:val="24"/>
          <w:szCs w:val="24"/>
        </w:rPr>
        <w:t>Ауторка</w:t>
      </w:r>
      <w:r w:rsidR="004F4251" w:rsidRPr="00AD3D04">
        <w:rPr>
          <w:rFonts w:ascii="Times New Roman" w:hAnsi="Times New Roman"/>
          <w:color w:val="000000"/>
          <w:sz w:val="24"/>
          <w:szCs w:val="24"/>
        </w:rPr>
        <w:t xml:space="preserve"> у односу према ранијим истраживањима скреће</w:t>
      </w:r>
      <w:r w:rsidR="004F4251" w:rsidRPr="00AD3D04">
        <w:rPr>
          <w:rFonts w:ascii="Times New Roman" w:hAnsi="Times New Roman"/>
          <w:color w:val="000000"/>
          <w:sz w:val="24"/>
          <w:szCs w:val="24"/>
          <w:lang w:val="sr-Cyrl-RS"/>
        </w:rPr>
        <w:t xml:space="preserve"> пажњу на у њима изнесена</w:t>
      </w:r>
      <w:r w:rsidRPr="00AD3D04">
        <w:rPr>
          <w:rFonts w:ascii="Times New Roman" w:hAnsi="Times New Roman"/>
          <w:color w:val="000000"/>
          <w:sz w:val="24"/>
          <w:szCs w:val="24"/>
        </w:rPr>
        <w:t xml:space="preserve"> опречна мишљења у вези са статусом обрасца слагања какво је слагање глагола у роду са првим чланом преве</w:t>
      </w:r>
      <w:r w:rsidR="004F4251" w:rsidRPr="00AD3D04">
        <w:rPr>
          <w:rFonts w:ascii="Times New Roman" w:hAnsi="Times New Roman"/>
          <w:color w:val="000000"/>
          <w:sz w:val="24"/>
          <w:szCs w:val="24"/>
        </w:rPr>
        <w:t>рбалног координираног субјекта, те</w:t>
      </w:r>
      <w:r w:rsidRPr="00AD3D04">
        <w:rPr>
          <w:rFonts w:ascii="Times New Roman" w:hAnsi="Times New Roman"/>
          <w:color w:val="000000"/>
          <w:sz w:val="24"/>
          <w:szCs w:val="24"/>
        </w:rPr>
        <w:t xml:space="preserve"> обра</w:t>
      </w:r>
      <w:r w:rsidR="004F4251" w:rsidRPr="00AD3D04">
        <w:rPr>
          <w:rFonts w:ascii="Times New Roman" w:hAnsi="Times New Roman"/>
          <w:color w:val="000000"/>
          <w:sz w:val="24"/>
          <w:szCs w:val="24"/>
        </w:rPr>
        <w:t>злаже методологију</w:t>
      </w:r>
      <w:r w:rsidRPr="00AD3D04">
        <w:rPr>
          <w:rFonts w:ascii="Times New Roman" w:hAnsi="Times New Roman"/>
          <w:color w:val="000000"/>
          <w:sz w:val="24"/>
          <w:szCs w:val="24"/>
        </w:rPr>
        <w:t xml:space="preserve"> </w:t>
      </w:r>
      <w:r w:rsidR="004F4251" w:rsidRPr="00AD3D04">
        <w:rPr>
          <w:rFonts w:ascii="Times New Roman" w:hAnsi="Times New Roman"/>
          <w:color w:val="000000"/>
          <w:sz w:val="24"/>
          <w:szCs w:val="24"/>
          <w:lang w:val="sr-Cyrl-RS"/>
        </w:rPr>
        <w:t>за коју се у изради монографије опредијелила</w:t>
      </w:r>
      <w:r w:rsidR="004F4251" w:rsidRPr="00AD3D04">
        <w:rPr>
          <w:rFonts w:ascii="Times New Roman" w:hAnsi="Times New Roman"/>
          <w:color w:val="000000"/>
          <w:sz w:val="24"/>
          <w:szCs w:val="24"/>
        </w:rPr>
        <w:t xml:space="preserve">, а која </w:t>
      </w:r>
      <w:r w:rsidR="00996EB2" w:rsidRPr="00AD3D04">
        <w:rPr>
          <w:rFonts w:ascii="Times New Roman" w:hAnsi="Times New Roman"/>
          <w:color w:val="000000"/>
          <w:sz w:val="24"/>
          <w:szCs w:val="24"/>
          <w:lang w:val="sr-Cyrl-RS"/>
        </w:rPr>
        <w:t xml:space="preserve">је </w:t>
      </w:r>
      <w:r w:rsidR="004F4251" w:rsidRPr="00AD3D04">
        <w:rPr>
          <w:rFonts w:ascii="Times New Roman" w:hAnsi="Times New Roman"/>
          <w:color w:val="000000"/>
          <w:sz w:val="24"/>
          <w:szCs w:val="24"/>
        </w:rPr>
        <w:t xml:space="preserve">заснована на </w:t>
      </w:r>
      <w:r w:rsidRPr="00AD3D04">
        <w:rPr>
          <w:rFonts w:ascii="Times New Roman" w:hAnsi="Times New Roman"/>
          <w:color w:val="000000"/>
          <w:sz w:val="24"/>
          <w:szCs w:val="24"/>
        </w:rPr>
        <w:t>истраживању Виле</w:t>
      </w:r>
      <w:r w:rsidR="00362A9F" w:rsidRPr="00AD3D04">
        <w:rPr>
          <w:rFonts w:ascii="Times New Roman" w:hAnsi="Times New Roman"/>
          <w:color w:val="000000"/>
          <w:sz w:val="24"/>
          <w:szCs w:val="24"/>
        </w:rPr>
        <w:t>р Голд и др. Описан је дизајн и начин споровођења експеримената</w:t>
      </w:r>
      <w:r w:rsidRPr="00AD3D04">
        <w:rPr>
          <w:rFonts w:ascii="Times New Roman" w:hAnsi="Times New Roman"/>
          <w:color w:val="000000"/>
          <w:sz w:val="24"/>
          <w:szCs w:val="24"/>
        </w:rPr>
        <w:t xml:space="preserve">, </w:t>
      </w:r>
      <w:r w:rsidR="00362A9F" w:rsidRPr="00AD3D04">
        <w:rPr>
          <w:rFonts w:ascii="Times New Roman" w:hAnsi="Times New Roman"/>
          <w:color w:val="000000"/>
          <w:sz w:val="24"/>
          <w:szCs w:val="24"/>
          <w:lang w:val="sr-Cyrl-RS"/>
        </w:rPr>
        <w:t xml:space="preserve">критеријуми за избор испитаника, као и </w:t>
      </w:r>
      <w:r w:rsidRPr="00AD3D04">
        <w:rPr>
          <w:rFonts w:ascii="Times New Roman" w:hAnsi="Times New Roman"/>
          <w:color w:val="000000"/>
          <w:sz w:val="24"/>
          <w:szCs w:val="24"/>
        </w:rPr>
        <w:t>како је вр</w:t>
      </w:r>
      <w:r w:rsidR="00362A9F" w:rsidRPr="00AD3D04">
        <w:rPr>
          <w:rFonts w:ascii="Times New Roman" w:hAnsi="Times New Roman"/>
          <w:color w:val="000000"/>
          <w:sz w:val="24"/>
          <w:szCs w:val="24"/>
        </w:rPr>
        <w:t>шена обрада података</w:t>
      </w:r>
      <w:r w:rsidR="00E45A61" w:rsidRPr="00AD3D04">
        <w:rPr>
          <w:rFonts w:ascii="Times New Roman" w:hAnsi="Times New Roman"/>
          <w:color w:val="000000"/>
          <w:sz w:val="24"/>
          <w:szCs w:val="24"/>
        </w:rPr>
        <w:t>. Функцију експеримента у истраживању ауторка образлаже на сљедећи начин:</w:t>
      </w:r>
      <w:r w:rsidR="00E45A61" w:rsidRPr="00AD3D04">
        <w:rPr>
          <w:rFonts w:ascii="Times New Roman" w:hAnsi="Times New Roman"/>
          <w:color w:val="000000"/>
          <w:sz w:val="24"/>
          <w:szCs w:val="24"/>
          <w:lang w:val="sr-Cyrl-RS"/>
        </w:rPr>
        <w:t xml:space="preserve"> „</w:t>
      </w:r>
      <w:r w:rsidR="00E45A61" w:rsidRPr="00AD3D04">
        <w:rPr>
          <w:rFonts w:ascii="Times New Roman" w:hAnsi="Times New Roman"/>
          <w:sz w:val="24"/>
          <w:szCs w:val="24"/>
          <w:lang w:val="sr-Cyrl-RS"/>
        </w:rPr>
        <w:t>Циљ свих спроведених експеримената са судовима граматичности јесте да се утврди на који начин синкретизам и линеарна блискост у условима дисјункције утичу на степен прихватљивости хијерархијског, линеарног, разрешеног и комбинованог слагања, те да се емпиријски тестира прихватљивост наведених образаца слагања код изворних говорника савременог српског језика. Шире гледано, наш циљ је да утврдимо који фактори доприносе одређењу контролора слагања у роду у условима дисјункције, те да ли долази до интеракције између рода и броја и на који начин се она рефлектује у погледу избора контролора слагања.“</w:t>
      </w:r>
    </w:p>
    <w:p w:rsidR="00C44E07" w:rsidRPr="00AD3D04" w:rsidRDefault="00C44E07" w:rsidP="00D621D0">
      <w:pPr>
        <w:spacing w:after="0" w:line="240" w:lineRule="auto"/>
        <w:ind w:firstLine="720"/>
        <w:jc w:val="both"/>
        <w:rPr>
          <w:rFonts w:ascii="Times New Roman" w:eastAsia="Calibri" w:hAnsi="Times New Roman" w:cs="Times New Roman"/>
          <w:sz w:val="24"/>
          <w:szCs w:val="24"/>
          <w:lang w:val="ru-RU"/>
        </w:rPr>
      </w:pPr>
      <w:r w:rsidRPr="00AD3D04">
        <w:rPr>
          <w:rFonts w:ascii="Times New Roman" w:hAnsi="Times New Roman"/>
          <w:color w:val="000000"/>
          <w:sz w:val="24"/>
          <w:szCs w:val="24"/>
          <w:lang w:val="sr-Cyrl-RS"/>
        </w:rPr>
        <w:t>Треће</w:t>
      </w:r>
      <w:r w:rsidR="00362A9F" w:rsidRPr="00AD3D04">
        <w:rPr>
          <w:rFonts w:ascii="Times New Roman" w:hAnsi="Times New Roman"/>
          <w:color w:val="000000"/>
          <w:sz w:val="24"/>
          <w:szCs w:val="24"/>
          <w:lang w:val="sr-Cyrl-RS"/>
        </w:rPr>
        <w:t xml:space="preserve"> поглавље, насловљено „</w:t>
      </w:r>
      <w:r w:rsidR="00362A9F" w:rsidRPr="00AD3D04">
        <w:rPr>
          <w:rFonts w:ascii="Times New Roman" w:hAnsi="Times New Roman" w:cs="Times New Roman"/>
          <w:sz w:val="24"/>
          <w:szCs w:val="24"/>
          <w:lang w:val="sr-Cyrl-CS"/>
        </w:rPr>
        <w:t>О конгруенцији предиката са дисјунктивним субјекто</w:t>
      </w:r>
      <w:r w:rsidR="00362A9F" w:rsidRPr="00AD3D04">
        <w:rPr>
          <w:rFonts w:ascii="Times New Roman" w:hAnsi="Times New Roman"/>
          <w:color w:val="000000"/>
          <w:sz w:val="24"/>
          <w:szCs w:val="24"/>
          <w:lang w:val="sr-Cyrl-RS"/>
        </w:rPr>
        <w:t xml:space="preserve">м“, </w:t>
      </w:r>
      <w:r w:rsidRPr="00AD3D04">
        <w:rPr>
          <w:rFonts w:ascii="Times New Roman" w:hAnsi="Times New Roman"/>
          <w:color w:val="000000"/>
          <w:sz w:val="24"/>
          <w:szCs w:val="24"/>
          <w:lang w:val="sr-Cyrl-RS"/>
        </w:rPr>
        <w:t xml:space="preserve">централни </w:t>
      </w:r>
      <w:r w:rsidR="00362A9F" w:rsidRPr="00AD3D04">
        <w:rPr>
          <w:rFonts w:ascii="Times New Roman" w:hAnsi="Times New Roman"/>
          <w:color w:val="000000"/>
          <w:sz w:val="24"/>
          <w:szCs w:val="24"/>
          <w:lang w:val="sr-Cyrl-RS"/>
        </w:rPr>
        <w:t>је ди</w:t>
      </w:r>
      <w:r w:rsidRPr="00AD3D04">
        <w:rPr>
          <w:rFonts w:ascii="Times New Roman" w:hAnsi="Times New Roman"/>
          <w:color w:val="000000"/>
          <w:sz w:val="24"/>
          <w:szCs w:val="24"/>
          <w:lang w:val="sr-Cyrl-RS"/>
        </w:rPr>
        <w:t xml:space="preserve">о </w:t>
      </w:r>
      <w:r w:rsidR="00362A9F" w:rsidRPr="00AD3D04">
        <w:rPr>
          <w:rFonts w:ascii="Times New Roman" w:hAnsi="Times New Roman"/>
          <w:color w:val="000000"/>
          <w:sz w:val="24"/>
          <w:szCs w:val="24"/>
          <w:lang w:val="sr-Cyrl-RS"/>
        </w:rPr>
        <w:t xml:space="preserve">монографије и </w:t>
      </w:r>
      <w:r w:rsidRPr="00AD3D04">
        <w:rPr>
          <w:rFonts w:ascii="Times New Roman" w:hAnsi="Times New Roman"/>
          <w:color w:val="000000"/>
          <w:sz w:val="24"/>
          <w:szCs w:val="24"/>
          <w:lang w:val="sr-Cyrl-RS"/>
        </w:rPr>
        <w:t>састоји из пет</w:t>
      </w:r>
      <w:r w:rsidR="00362A9F" w:rsidRPr="00AD3D04">
        <w:rPr>
          <w:rFonts w:ascii="Times New Roman" w:hAnsi="Times New Roman"/>
          <w:color w:val="000000"/>
          <w:sz w:val="24"/>
          <w:szCs w:val="24"/>
          <w:lang w:val="sr-Cyrl-RS"/>
        </w:rPr>
        <w:t xml:space="preserve"> потпоглавља. У првом потпоглављу је представљен </w:t>
      </w:r>
      <w:r w:rsidRPr="00AD3D04">
        <w:rPr>
          <w:rFonts w:ascii="Times New Roman" w:hAnsi="Times New Roman"/>
          <w:color w:val="000000"/>
          <w:sz w:val="24"/>
          <w:szCs w:val="24"/>
          <w:lang w:val="sr-Cyrl-RS"/>
        </w:rPr>
        <w:t xml:space="preserve">дизајн, дискусија и резултати експеримената са судовима граматичности којима се тестира ефекат синкретизма и дисјункције. </w:t>
      </w:r>
      <w:r w:rsidR="00362A9F" w:rsidRPr="00AD3D04">
        <w:rPr>
          <w:rFonts w:ascii="Times New Roman" w:hAnsi="Times New Roman"/>
          <w:color w:val="000000"/>
          <w:sz w:val="24"/>
          <w:szCs w:val="24"/>
          <w:lang w:val="sr-Cyrl-RS"/>
        </w:rPr>
        <w:t>У другом потпоглављу дат је дизајн, резултати и дискусија</w:t>
      </w:r>
      <w:r w:rsidRPr="00AD3D04">
        <w:rPr>
          <w:rFonts w:ascii="Times New Roman" w:hAnsi="Times New Roman"/>
          <w:color w:val="000000"/>
          <w:sz w:val="24"/>
          <w:szCs w:val="24"/>
          <w:lang w:val="sr-Cyrl-RS"/>
        </w:rPr>
        <w:t xml:space="preserve"> за прву групу експеримената којима се тестира ефекат линеарне блискости и дисјункције</w:t>
      </w:r>
      <w:r w:rsidR="00362A9F" w:rsidRPr="00AD3D04">
        <w:rPr>
          <w:rFonts w:ascii="Times New Roman" w:hAnsi="Times New Roman"/>
          <w:color w:val="000000"/>
          <w:sz w:val="24"/>
          <w:szCs w:val="24"/>
          <w:lang w:val="sr-Cyrl-RS"/>
        </w:rPr>
        <w:t xml:space="preserve"> у </w:t>
      </w:r>
      <w:r w:rsidRPr="00AD3D04">
        <w:rPr>
          <w:rFonts w:ascii="Times New Roman" w:hAnsi="Times New Roman"/>
          <w:color w:val="000000"/>
          <w:sz w:val="24"/>
          <w:szCs w:val="24"/>
          <w:lang w:val="sr-Cyrl-RS"/>
        </w:rPr>
        <w:t>експерименти</w:t>
      </w:r>
      <w:r w:rsidR="00362A9F" w:rsidRPr="00AD3D04">
        <w:rPr>
          <w:rFonts w:ascii="Times New Roman" w:hAnsi="Times New Roman"/>
          <w:color w:val="000000"/>
          <w:sz w:val="24"/>
          <w:szCs w:val="24"/>
          <w:lang w:val="sr-Cyrl-RS"/>
        </w:rPr>
        <w:t>ма</w:t>
      </w:r>
      <w:r w:rsidRPr="00AD3D04">
        <w:rPr>
          <w:rFonts w:ascii="Times New Roman" w:hAnsi="Times New Roman"/>
          <w:color w:val="000000"/>
          <w:sz w:val="24"/>
          <w:szCs w:val="24"/>
          <w:lang w:val="sr-Cyrl-RS"/>
        </w:rPr>
        <w:t xml:space="preserve"> са судовима граматичнос</w:t>
      </w:r>
      <w:r w:rsidR="00362A9F" w:rsidRPr="00AD3D04">
        <w:rPr>
          <w:rFonts w:ascii="Times New Roman" w:hAnsi="Times New Roman"/>
          <w:color w:val="000000"/>
          <w:sz w:val="24"/>
          <w:szCs w:val="24"/>
          <w:lang w:val="sr-Cyrl-RS"/>
        </w:rPr>
        <w:t xml:space="preserve">ти. У наредном потпоглављу такође је </w:t>
      </w:r>
      <w:r w:rsidRPr="00AD3D04">
        <w:rPr>
          <w:rFonts w:ascii="Times New Roman" w:hAnsi="Times New Roman"/>
          <w:color w:val="000000"/>
          <w:sz w:val="24"/>
          <w:szCs w:val="24"/>
          <w:lang w:val="sr-Cyrl-RS"/>
        </w:rPr>
        <w:t xml:space="preserve">описан дизајн, пријављени су и коментарисани резултати друге групе експеримената којима се тестира ефекат линеарне блискости и дисјункције. </w:t>
      </w:r>
      <w:r w:rsidR="00362A9F" w:rsidRPr="00AD3D04">
        <w:rPr>
          <w:rFonts w:ascii="Times New Roman" w:hAnsi="Times New Roman"/>
          <w:color w:val="000000"/>
          <w:sz w:val="24"/>
          <w:szCs w:val="24"/>
          <w:lang w:val="sr-Cyrl-RS"/>
        </w:rPr>
        <w:t>Та потпоглавља која</w:t>
      </w:r>
      <w:r w:rsidRPr="00AD3D04">
        <w:rPr>
          <w:rFonts w:ascii="Times New Roman" w:hAnsi="Times New Roman"/>
          <w:color w:val="000000"/>
          <w:sz w:val="24"/>
          <w:szCs w:val="24"/>
          <w:lang w:val="sr-Cyrl-RS"/>
        </w:rPr>
        <w:t xml:space="preserve"> садрже експерименте са судовима граматичности прат</w:t>
      </w:r>
      <w:r w:rsidR="00362A9F" w:rsidRPr="00AD3D04">
        <w:rPr>
          <w:rFonts w:ascii="Times New Roman" w:hAnsi="Times New Roman"/>
          <w:color w:val="000000"/>
          <w:sz w:val="24"/>
          <w:szCs w:val="24"/>
          <w:lang w:val="sr-Cyrl-RS"/>
        </w:rPr>
        <w:t xml:space="preserve">е и детаљно описани </w:t>
      </w:r>
      <w:r w:rsidRPr="00AD3D04">
        <w:rPr>
          <w:rFonts w:ascii="Times New Roman" w:hAnsi="Times New Roman"/>
          <w:color w:val="000000"/>
          <w:sz w:val="24"/>
          <w:szCs w:val="24"/>
          <w:lang w:val="sr-Cyrl-RS"/>
        </w:rPr>
        <w:t xml:space="preserve"> корпусни подаци. </w:t>
      </w:r>
      <w:r w:rsidR="00362A9F" w:rsidRPr="00AD3D04">
        <w:rPr>
          <w:rFonts w:ascii="Times New Roman" w:hAnsi="Times New Roman"/>
          <w:color w:val="000000"/>
          <w:sz w:val="24"/>
          <w:szCs w:val="24"/>
          <w:lang w:val="sr-Cyrl-RS"/>
        </w:rPr>
        <w:t xml:space="preserve">У петом потпоглављу разматра се </w:t>
      </w:r>
      <w:r w:rsidR="00F04FCD" w:rsidRPr="00AD3D04">
        <w:rPr>
          <w:rFonts w:ascii="Times New Roman" w:hAnsi="Times New Roman"/>
          <w:color w:val="000000"/>
          <w:sz w:val="24"/>
          <w:szCs w:val="24"/>
          <w:lang w:val="sr-Cyrl-RS"/>
        </w:rPr>
        <w:t>улога</w:t>
      </w:r>
      <w:r w:rsidRPr="00AD3D04">
        <w:rPr>
          <w:rFonts w:ascii="Times New Roman" w:hAnsi="Times New Roman"/>
          <w:color w:val="000000"/>
          <w:sz w:val="24"/>
          <w:szCs w:val="24"/>
          <w:lang w:val="sr-Cyrl-RS"/>
        </w:rPr>
        <w:t xml:space="preserve"> рода и броја у процесу слагања предиката са дисјун</w:t>
      </w:r>
      <w:r w:rsidR="00F04FCD" w:rsidRPr="00AD3D04">
        <w:rPr>
          <w:rFonts w:ascii="Times New Roman" w:hAnsi="Times New Roman"/>
          <w:color w:val="000000"/>
          <w:sz w:val="24"/>
          <w:szCs w:val="24"/>
          <w:lang w:val="sr-Cyrl-RS"/>
        </w:rPr>
        <w:t xml:space="preserve">ктивним субјектом и </w:t>
      </w:r>
      <w:r w:rsidRPr="00AD3D04">
        <w:rPr>
          <w:rFonts w:ascii="Times New Roman" w:hAnsi="Times New Roman"/>
          <w:color w:val="000000"/>
          <w:sz w:val="24"/>
          <w:szCs w:val="24"/>
          <w:lang w:val="sr-Cyrl-RS"/>
        </w:rPr>
        <w:t xml:space="preserve">на основу поређења резултата експеримената у којима се предикат слаже са координираним те са дисјунктивним субјектом, разматра </w:t>
      </w:r>
      <w:r w:rsidR="00F04FCD" w:rsidRPr="00AD3D04">
        <w:rPr>
          <w:rFonts w:ascii="Times New Roman" w:hAnsi="Times New Roman"/>
          <w:color w:val="000000"/>
          <w:sz w:val="24"/>
          <w:szCs w:val="24"/>
          <w:lang w:val="sr-Cyrl-RS"/>
        </w:rPr>
        <w:t xml:space="preserve">се </w:t>
      </w:r>
      <w:r w:rsidRPr="00AD3D04">
        <w:rPr>
          <w:rFonts w:ascii="Times New Roman" w:hAnsi="Times New Roman"/>
          <w:color w:val="000000"/>
          <w:sz w:val="24"/>
          <w:szCs w:val="24"/>
          <w:lang w:val="sr-Cyrl-RS"/>
        </w:rPr>
        <w:t>улогу типа коо</w:t>
      </w:r>
      <w:r w:rsidR="00F04FCD" w:rsidRPr="00AD3D04">
        <w:rPr>
          <w:rFonts w:ascii="Times New Roman" w:hAnsi="Times New Roman"/>
          <w:color w:val="000000"/>
          <w:sz w:val="24"/>
          <w:szCs w:val="24"/>
          <w:lang w:val="sr-Cyrl-RS"/>
        </w:rPr>
        <w:t>рдинације при одређивању</w:t>
      </w:r>
      <w:r w:rsidRPr="00AD3D04">
        <w:rPr>
          <w:rFonts w:ascii="Times New Roman" w:hAnsi="Times New Roman"/>
          <w:color w:val="000000"/>
          <w:sz w:val="24"/>
          <w:szCs w:val="24"/>
          <w:lang w:val="sr-Cyrl-RS"/>
        </w:rPr>
        <w:t xml:space="preserve"> контролора слагања у роду у српском језику. </w:t>
      </w:r>
      <w:r w:rsidR="00E45A61" w:rsidRPr="00AD3D04">
        <w:rPr>
          <w:rFonts w:ascii="Times New Roman" w:hAnsi="Times New Roman"/>
          <w:color w:val="000000"/>
          <w:sz w:val="24"/>
          <w:szCs w:val="24"/>
          <w:lang w:val="sr-Cyrl-RS"/>
        </w:rPr>
        <w:t>Резултати истраживања представљени су у графиконима и низом упоредних статистичких вр</w:t>
      </w:r>
      <w:r w:rsidR="0070352A" w:rsidRPr="00AD3D04">
        <w:rPr>
          <w:rFonts w:ascii="Times New Roman" w:hAnsi="Times New Roman"/>
          <w:color w:val="000000"/>
          <w:sz w:val="24"/>
          <w:szCs w:val="24"/>
          <w:lang w:val="sr-Cyrl-RS"/>
        </w:rPr>
        <w:t xml:space="preserve">иједности различитих категорија и показују </w:t>
      </w:r>
      <w:r w:rsidR="0070352A" w:rsidRPr="00AD3D04">
        <w:rPr>
          <w:rFonts w:ascii="Times New Roman" w:eastAsia="Calibri" w:hAnsi="Times New Roman" w:cs="Times New Roman"/>
          <w:sz w:val="24"/>
          <w:szCs w:val="24"/>
          <w:lang w:val="ru-RU"/>
        </w:rPr>
        <w:t>да је најчешћи тип слагања предиката са субјектом у ствари слагање са последњим чланом синтагме, без обзира на то да ли је последњи члан женског или средњег рода, док је слагање са првим чланом мање фреквентно, односно да је најчешће када је први члан модификован и хијерархијски даљи од глагола. Резултати истраживања упућују да се глагол не слаже са самом именицом, него са именичком фразом која је релевантни носилац обиљежја именице.</w:t>
      </w:r>
    </w:p>
    <w:p w:rsidR="0070352A" w:rsidRPr="00AD3D04" w:rsidRDefault="00F04FCD" w:rsidP="00D621D0">
      <w:pPr>
        <w:spacing w:after="120" w:line="240" w:lineRule="auto"/>
        <w:ind w:firstLine="720"/>
        <w:jc w:val="both"/>
        <w:rPr>
          <w:rFonts w:ascii="Times New Roman" w:hAnsi="Times New Roman"/>
          <w:color w:val="000000"/>
          <w:sz w:val="24"/>
          <w:szCs w:val="24"/>
          <w:lang w:val="sr-Cyrl-RS"/>
        </w:rPr>
      </w:pPr>
      <w:r w:rsidRPr="00AD3D04">
        <w:rPr>
          <w:rFonts w:ascii="Times New Roman" w:hAnsi="Times New Roman"/>
          <w:color w:val="000000"/>
          <w:sz w:val="24"/>
          <w:szCs w:val="24"/>
          <w:lang w:val="sr-Cyrl-RS"/>
        </w:rPr>
        <w:t>У четвртом поглављу („</w:t>
      </w:r>
      <w:r w:rsidRPr="00AD3D04">
        <w:rPr>
          <w:rFonts w:ascii="Times New Roman" w:hAnsi="Times New Roman" w:cs="Times New Roman"/>
          <w:sz w:val="24"/>
          <w:szCs w:val="24"/>
          <w:lang w:val="sr-Cyrl-CS"/>
        </w:rPr>
        <w:t xml:space="preserve">Теоријске импликације“) ауторка </w:t>
      </w:r>
      <w:r w:rsidR="00C44E07" w:rsidRPr="00AD3D04">
        <w:rPr>
          <w:rFonts w:ascii="Times New Roman" w:hAnsi="Times New Roman"/>
          <w:color w:val="000000"/>
          <w:sz w:val="24"/>
          <w:szCs w:val="24"/>
          <w:lang w:val="sr-Cyrl-RS"/>
        </w:rPr>
        <w:t>до</w:t>
      </w:r>
      <w:r w:rsidRPr="00AD3D04">
        <w:rPr>
          <w:rFonts w:ascii="Times New Roman" w:hAnsi="Times New Roman"/>
          <w:color w:val="000000"/>
          <w:sz w:val="24"/>
          <w:szCs w:val="24"/>
          <w:lang w:val="sr-Cyrl-RS"/>
        </w:rPr>
        <w:t>води</w:t>
      </w:r>
      <w:r w:rsidR="00C44E07" w:rsidRPr="00AD3D04">
        <w:rPr>
          <w:rFonts w:ascii="Times New Roman" w:hAnsi="Times New Roman"/>
          <w:color w:val="000000"/>
          <w:sz w:val="24"/>
          <w:szCs w:val="24"/>
          <w:lang w:val="sr-Cyrl-RS"/>
        </w:rPr>
        <w:t xml:space="preserve"> у везу теоријске поставке и резултате претходних истраживања са резу</w:t>
      </w:r>
      <w:r w:rsidRPr="00AD3D04">
        <w:rPr>
          <w:rFonts w:ascii="Times New Roman" w:hAnsi="Times New Roman"/>
          <w:color w:val="000000"/>
          <w:sz w:val="24"/>
          <w:szCs w:val="24"/>
          <w:lang w:val="sr-Cyrl-RS"/>
        </w:rPr>
        <w:t>лтатима свога</w:t>
      </w:r>
      <w:r w:rsidR="00C44E07" w:rsidRPr="00AD3D04">
        <w:rPr>
          <w:rFonts w:ascii="Times New Roman" w:hAnsi="Times New Roman"/>
          <w:color w:val="000000"/>
          <w:sz w:val="24"/>
          <w:szCs w:val="24"/>
          <w:lang w:val="sr-Cyrl-RS"/>
        </w:rPr>
        <w:t xml:space="preserve"> истражив</w:t>
      </w:r>
      <w:r w:rsidRPr="00AD3D04">
        <w:rPr>
          <w:rFonts w:ascii="Times New Roman" w:hAnsi="Times New Roman"/>
          <w:color w:val="000000"/>
          <w:sz w:val="24"/>
          <w:szCs w:val="24"/>
          <w:lang w:val="sr-Cyrl-RS"/>
        </w:rPr>
        <w:t>ања и представља</w:t>
      </w:r>
      <w:r w:rsidR="00C44E07" w:rsidRPr="00AD3D04">
        <w:rPr>
          <w:rFonts w:ascii="Times New Roman" w:hAnsi="Times New Roman"/>
          <w:color w:val="000000"/>
          <w:sz w:val="24"/>
          <w:szCs w:val="24"/>
          <w:lang w:val="sr-Cyrl-RS"/>
        </w:rPr>
        <w:t xml:space="preserve"> начине на кој</w:t>
      </w:r>
      <w:r w:rsidRPr="00AD3D04">
        <w:rPr>
          <w:rFonts w:ascii="Times New Roman" w:hAnsi="Times New Roman"/>
          <w:color w:val="000000"/>
          <w:sz w:val="24"/>
          <w:szCs w:val="24"/>
          <w:lang w:val="sr-Cyrl-RS"/>
        </w:rPr>
        <w:t xml:space="preserve">е </w:t>
      </w:r>
      <w:r w:rsidR="00C44E07" w:rsidRPr="00AD3D04">
        <w:rPr>
          <w:rFonts w:ascii="Times New Roman" w:hAnsi="Times New Roman"/>
          <w:color w:val="000000"/>
          <w:sz w:val="24"/>
          <w:szCs w:val="24"/>
          <w:lang w:val="sr-Cyrl-RS"/>
        </w:rPr>
        <w:t xml:space="preserve">резултати </w:t>
      </w:r>
      <w:r w:rsidRPr="00AD3D04">
        <w:rPr>
          <w:rFonts w:ascii="Times New Roman" w:hAnsi="Times New Roman"/>
          <w:color w:val="000000"/>
          <w:sz w:val="24"/>
          <w:szCs w:val="24"/>
          <w:lang w:val="sr-Cyrl-RS"/>
        </w:rPr>
        <w:t>њеног истраживања допуњавају</w:t>
      </w:r>
      <w:r w:rsidR="00996EB2" w:rsidRPr="00AD3D04">
        <w:rPr>
          <w:rFonts w:ascii="Times New Roman" w:hAnsi="Times New Roman"/>
          <w:color w:val="000000"/>
          <w:sz w:val="24"/>
          <w:szCs w:val="24"/>
          <w:lang w:val="sr-Cyrl-RS"/>
        </w:rPr>
        <w:t xml:space="preserve"> и модифик</w:t>
      </w:r>
      <w:r w:rsidR="00C44E07" w:rsidRPr="00AD3D04">
        <w:rPr>
          <w:rFonts w:ascii="Times New Roman" w:hAnsi="Times New Roman"/>
          <w:color w:val="000000"/>
          <w:sz w:val="24"/>
          <w:szCs w:val="24"/>
          <w:lang w:val="sr-Cyrl-RS"/>
        </w:rPr>
        <w:t xml:space="preserve">ују </w:t>
      </w:r>
      <w:r w:rsidRPr="00AD3D04">
        <w:rPr>
          <w:rFonts w:ascii="Times New Roman" w:hAnsi="Times New Roman"/>
          <w:color w:val="000000"/>
          <w:sz w:val="24"/>
          <w:szCs w:val="24"/>
          <w:lang w:val="sr-Cyrl-RS"/>
        </w:rPr>
        <w:t xml:space="preserve">постојеће теорије. Ти резултати први пут у српској синтакси  </w:t>
      </w:r>
      <w:r w:rsidR="00C44E07" w:rsidRPr="00AD3D04">
        <w:rPr>
          <w:rFonts w:ascii="Times New Roman" w:hAnsi="Times New Roman"/>
          <w:color w:val="000000"/>
          <w:sz w:val="24"/>
          <w:szCs w:val="24"/>
          <w:lang w:val="sr-Cyrl-RS"/>
        </w:rPr>
        <w:t xml:space="preserve">дају ширу слику </w:t>
      </w:r>
      <w:r w:rsidRPr="00AD3D04">
        <w:rPr>
          <w:rFonts w:ascii="Times New Roman" w:hAnsi="Times New Roman"/>
          <w:color w:val="000000"/>
          <w:sz w:val="24"/>
          <w:szCs w:val="24"/>
          <w:lang w:val="sr-Cyrl-RS"/>
        </w:rPr>
        <w:t xml:space="preserve">слагања </w:t>
      </w:r>
      <w:r w:rsidR="00C44E07" w:rsidRPr="00AD3D04">
        <w:rPr>
          <w:rFonts w:ascii="Times New Roman" w:hAnsi="Times New Roman"/>
          <w:color w:val="000000"/>
          <w:sz w:val="24"/>
          <w:szCs w:val="24"/>
          <w:lang w:val="sr-Cyrl-RS"/>
        </w:rPr>
        <w:t>дисјун</w:t>
      </w:r>
      <w:r w:rsidRPr="00AD3D04">
        <w:rPr>
          <w:rFonts w:ascii="Times New Roman" w:hAnsi="Times New Roman"/>
          <w:color w:val="000000"/>
          <w:sz w:val="24"/>
          <w:szCs w:val="24"/>
          <w:lang w:val="sr-Cyrl-RS"/>
        </w:rPr>
        <w:t>ктивног субјекта са предикатом на српском језичком корпусу</w:t>
      </w:r>
      <w:r w:rsidR="00C44E07" w:rsidRPr="00AD3D04">
        <w:rPr>
          <w:rFonts w:ascii="Times New Roman" w:hAnsi="Times New Roman"/>
          <w:color w:val="000000"/>
          <w:sz w:val="24"/>
          <w:szCs w:val="24"/>
          <w:lang w:val="sr-Cyrl-RS"/>
        </w:rPr>
        <w:t xml:space="preserve">. </w:t>
      </w:r>
      <w:r w:rsidR="0070352A" w:rsidRPr="00AD3D04">
        <w:rPr>
          <w:rFonts w:ascii="Times New Roman" w:hAnsi="Times New Roman"/>
          <w:color w:val="000000"/>
          <w:sz w:val="24"/>
          <w:szCs w:val="24"/>
          <w:lang w:val="sr-Cyrl-RS"/>
        </w:rPr>
        <w:t xml:space="preserve">Ауторка фактички </w:t>
      </w:r>
      <w:r w:rsidR="0070352A" w:rsidRPr="00AD3D04">
        <w:rPr>
          <w:rFonts w:ascii="Times New Roman" w:hAnsi="Times New Roman"/>
          <w:sz w:val="24"/>
          <w:szCs w:val="24"/>
          <w:lang w:val="ru-RU"/>
        </w:rPr>
        <w:t xml:space="preserve">редефинише и претходне теоријске приступе и моделе и прецизно дефинише </w:t>
      </w:r>
      <w:r w:rsidR="0070352A" w:rsidRPr="00AD3D04">
        <w:rPr>
          <w:rFonts w:ascii="Times New Roman" w:eastAsia="Calibri" w:hAnsi="Times New Roman" w:cs="Times New Roman"/>
          <w:sz w:val="24"/>
          <w:szCs w:val="24"/>
          <w:lang w:val="ru-RU"/>
        </w:rPr>
        <w:t>каква је улога рода и броја у одређивању ко</w:t>
      </w:r>
      <w:r w:rsidR="00655146" w:rsidRPr="00AD3D04">
        <w:rPr>
          <w:rFonts w:ascii="Times New Roman" w:hAnsi="Times New Roman"/>
          <w:sz w:val="24"/>
          <w:szCs w:val="24"/>
          <w:lang w:val="ru-RU"/>
        </w:rPr>
        <w:t>нтролора слагања. Она показује да</w:t>
      </w:r>
      <w:r w:rsidR="0070352A" w:rsidRPr="00AD3D04">
        <w:rPr>
          <w:rFonts w:ascii="Times New Roman" w:eastAsia="Calibri" w:hAnsi="Times New Roman" w:cs="Times New Roman"/>
          <w:sz w:val="24"/>
          <w:szCs w:val="24"/>
          <w:lang w:val="ru-RU"/>
        </w:rPr>
        <w:t xml:space="preserve"> хијерархијско слага</w:t>
      </w:r>
      <w:r w:rsidR="00655146" w:rsidRPr="00AD3D04">
        <w:rPr>
          <w:rFonts w:ascii="Times New Roman" w:hAnsi="Times New Roman"/>
          <w:sz w:val="24"/>
          <w:szCs w:val="24"/>
          <w:lang w:val="ru-RU"/>
        </w:rPr>
        <w:t xml:space="preserve">ње постоји у српском језику и </w:t>
      </w:r>
      <w:r w:rsidR="0070352A" w:rsidRPr="00AD3D04">
        <w:rPr>
          <w:rFonts w:ascii="Times New Roman" w:eastAsia="Calibri" w:hAnsi="Times New Roman" w:cs="Times New Roman"/>
          <w:sz w:val="24"/>
          <w:szCs w:val="24"/>
          <w:lang w:val="ru-RU"/>
        </w:rPr>
        <w:t xml:space="preserve">да </w:t>
      </w:r>
      <w:r w:rsidR="00655146" w:rsidRPr="00AD3D04">
        <w:rPr>
          <w:rFonts w:ascii="Times New Roman" w:hAnsi="Times New Roman"/>
          <w:sz w:val="24"/>
          <w:szCs w:val="24"/>
          <w:lang w:val="ru-RU"/>
        </w:rPr>
        <w:t xml:space="preserve">је хијерархијска блискост </w:t>
      </w:r>
      <w:r w:rsidR="0070352A" w:rsidRPr="00AD3D04">
        <w:rPr>
          <w:rFonts w:ascii="Times New Roman" w:eastAsia="Calibri" w:hAnsi="Times New Roman" w:cs="Times New Roman"/>
          <w:sz w:val="24"/>
          <w:szCs w:val="24"/>
          <w:lang w:val="ru-RU"/>
        </w:rPr>
        <w:t xml:space="preserve">фактор који утиче на слагање са првим чланом. </w:t>
      </w:r>
      <w:r w:rsidR="00655146" w:rsidRPr="00AD3D04">
        <w:rPr>
          <w:rFonts w:ascii="Times New Roman" w:hAnsi="Times New Roman"/>
          <w:sz w:val="24"/>
          <w:szCs w:val="24"/>
          <w:lang w:val="ru-RU"/>
        </w:rPr>
        <w:t>Такође показује и да л</w:t>
      </w:r>
      <w:r w:rsidR="0070352A" w:rsidRPr="00AD3D04">
        <w:rPr>
          <w:rFonts w:ascii="Times New Roman" w:eastAsia="Calibri" w:hAnsi="Times New Roman" w:cs="Times New Roman"/>
          <w:sz w:val="24"/>
          <w:szCs w:val="24"/>
          <w:lang w:val="ru-RU"/>
        </w:rPr>
        <w:t xml:space="preserve">инеарна блискост утиче не само на слагање са последњим чланом него и на слагање са првим чланом конјункције. </w:t>
      </w:r>
      <w:r w:rsidR="00655146" w:rsidRPr="00AD3D04">
        <w:rPr>
          <w:rFonts w:ascii="Times New Roman" w:hAnsi="Times New Roman"/>
          <w:sz w:val="24"/>
          <w:szCs w:val="24"/>
          <w:lang w:val="ru-RU"/>
        </w:rPr>
        <w:t xml:space="preserve">Умањена и </w:t>
      </w:r>
      <w:r w:rsidR="00655146" w:rsidRPr="00AD3D04">
        <w:rPr>
          <w:rFonts w:ascii="Times New Roman" w:hAnsi="Times New Roman"/>
          <w:sz w:val="24"/>
          <w:szCs w:val="24"/>
          <w:lang w:val="ru-RU"/>
        </w:rPr>
        <w:lastRenderedPageBreak/>
        <w:t>увећана линеарна дистанца дјелују тако што у</w:t>
      </w:r>
      <w:r w:rsidR="0070352A" w:rsidRPr="00AD3D04">
        <w:rPr>
          <w:rFonts w:ascii="Times New Roman" w:eastAsia="Calibri" w:hAnsi="Times New Roman" w:cs="Times New Roman"/>
          <w:sz w:val="24"/>
          <w:szCs w:val="24"/>
          <w:lang w:val="ru-RU"/>
        </w:rPr>
        <w:t>мањена линеарна дистанца између првог члана и глагола ј</w:t>
      </w:r>
      <w:r w:rsidR="00655146" w:rsidRPr="00AD3D04">
        <w:rPr>
          <w:rFonts w:ascii="Times New Roman" w:hAnsi="Times New Roman"/>
          <w:sz w:val="24"/>
          <w:szCs w:val="24"/>
          <w:lang w:val="ru-RU"/>
        </w:rPr>
        <w:t>ача слагање са првим чланом, чиме је умањено линеарно слагање, док</w:t>
      </w:r>
      <w:r w:rsidR="0070352A" w:rsidRPr="00AD3D04">
        <w:rPr>
          <w:rFonts w:ascii="Times New Roman" w:eastAsia="Calibri" w:hAnsi="Times New Roman" w:cs="Times New Roman"/>
          <w:sz w:val="24"/>
          <w:szCs w:val="24"/>
          <w:lang w:val="ru-RU"/>
        </w:rPr>
        <w:t xml:space="preserve"> увећана линеарна дистанца између првог члана и глагола с</w:t>
      </w:r>
      <w:r w:rsidR="00655146" w:rsidRPr="00AD3D04">
        <w:rPr>
          <w:rFonts w:ascii="Times New Roman" w:hAnsi="Times New Roman"/>
          <w:sz w:val="24"/>
          <w:szCs w:val="24"/>
          <w:lang w:val="ru-RU"/>
        </w:rPr>
        <w:t>лаби слагање са првим чланом, чиме</w:t>
      </w:r>
      <w:r w:rsidR="0070352A" w:rsidRPr="00AD3D04">
        <w:rPr>
          <w:rFonts w:ascii="Times New Roman" w:eastAsia="Calibri" w:hAnsi="Times New Roman" w:cs="Times New Roman"/>
          <w:sz w:val="24"/>
          <w:szCs w:val="24"/>
          <w:lang w:val="ru-RU"/>
        </w:rPr>
        <w:t xml:space="preserve"> је линеарно слагање значајно повећано. </w:t>
      </w:r>
    </w:p>
    <w:p w:rsidR="00B2620F" w:rsidRPr="00AD3D04" w:rsidRDefault="00655146" w:rsidP="00655146">
      <w:pPr>
        <w:tabs>
          <w:tab w:val="left" w:pos="3402"/>
        </w:tabs>
        <w:spacing w:after="0" w:line="240" w:lineRule="auto"/>
        <w:ind w:firstLine="709"/>
        <w:jc w:val="both"/>
        <w:rPr>
          <w:rFonts w:ascii="Times New Roman" w:eastAsia="Calibri" w:hAnsi="Times New Roman" w:cs="Times New Roman"/>
          <w:noProof/>
          <w:sz w:val="24"/>
          <w:szCs w:val="24"/>
          <w:lang w:val="sr-Cyrl-RS"/>
        </w:rPr>
      </w:pPr>
      <w:r w:rsidRPr="00AD3D04">
        <w:rPr>
          <w:rFonts w:ascii="Times New Roman" w:hAnsi="Times New Roman"/>
          <w:color w:val="000000"/>
          <w:sz w:val="24"/>
          <w:szCs w:val="24"/>
          <w:lang w:val="sr-Cyrl-RS"/>
        </w:rPr>
        <w:t>У петом поглављу дати су</w:t>
      </w:r>
      <w:r w:rsidR="00C44E07" w:rsidRPr="00AD3D04">
        <w:rPr>
          <w:rFonts w:ascii="Times New Roman" w:hAnsi="Times New Roman"/>
          <w:color w:val="000000"/>
          <w:sz w:val="24"/>
          <w:szCs w:val="24"/>
          <w:lang w:val="sr-Cyrl-RS"/>
        </w:rPr>
        <w:t xml:space="preserve"> закљу</w:t>
      </w:r>
      <w:r w:rsidRPr="00AD3D04">
        <w:rPr>
          <w:rFonts w:ascii="Times New Roman" w:hAnsi="Times New Roman"/>
          <w:color w:val="000000"/>
          <w:sz w:val="24"/>
          <w:szCs w:val="24"/>
          <w:lang w:val="sr-Cyrl-RS"/>
        </w:rPr>
        <w:t>чци</w:t>
      </w:r>
      <w:r w:rsidR="00C44E07" w:rsidRPr="00AD3D04">
        <w:rPr>
          <w:rFonts w:ascii="Times New Roman" w:hAnsi="Times New Roman"/>
          <w:color w:val="000000"/>
          <w:sz w:val="24"/>
          <w:szCs w:val="24"/>
          <w:lang w:val="sr-Cyrl-RS"/>
        </w:rPr>
        <w:t xml:space="preserve">. </w:t>
      </w:r>
      <w:r w:rsidRPr="00AD3D04">
        <w:rPr>
          <w:rFonts w:ascii="Times New Roman" w:hAnsi="Times New Roman"/>
          <w:noProof/>
          <w:sz w:val="24"/>
          <w:szCs w:val="24"/>
        </w:rPr>
        <w:t xml:space="preserve">Уз интерференцију синтаксичко-фонолошких критеријума у одређењу конгруенције, Ивана Митић у монографији даје и одговор на питање да ли род и број </w:t>
      </w:r>
      <w:r w:rsidRPr="00AD3D04">
        <w:rPr>
          <w:rFonts w:ascii="Times New Roman" w:eastAsia="Calibri" w:hAnsi="Times New Roman" w:cs="Times New Roman"/>
          <w:noProof/>
          <w:sz w:val="24"/>
          <w:szCs w:val="24"/>
        </w:rPr>
        <w:t xml:space="preserve"> заједно учествују у процесу слагања. </w:t>
      </w:r>
      <w:r w:rsidR="00B2620F" w:rsidRPr="00AD3D04">
        <w:rPr>
          <w:rFonts w:ascii="Times New Roman" w:eastAsia="Calibri" w:hAnsi="Times New Roman" w:cs="Times New Roman"/>
          <w:noProof/>
          <w:sz w:val="24"/>
          <w:szCs w:val="24"/>
          <w:lang w:val="sr-Cyrl-RS"/>
        </w:rPr>
        <w:t>Њена монографија, у ствари, даје одговор на питања како:</w:t>
      </w:r>
    </w:p>
    <w:p w:rsidR="00B2620F" w:rsidRPr="00AD3D04" w:rsidRDefault="00B2620F" w:rsidP="00B2620F">
      <w:pPr>
        <w:numPr>
          <w:ilvl w:val="0"/>
          <w:numId w:val="1"/>
        </w:numPr>
        <w:spacing w:after="160" w:line="240" w:lineRule="auto"/>
        <w:jc w:val="both"/>
        <w:rPr>
          <w:rStyle w:val="markedcontent"/>
          <w:rFonts w:ascii="Times New Roman" w:hAnsi="Times New Roman"/>
          <w:sz w:val="24"/>
          <w:szCs w:val="24"/>
          <w:lang w:val="sr-Cyrl-RS"/>
        </w:rPr>
      </w:pPr>
      <w:r w:rsidRPr="00AD3D04">
        <w:rPr>
          <w:rStyle w:val="markedcontent"/>
          <w:rFonts w:ascii="Times New Roman" w:hAnsi="Times New Roman"/>
          <w:sz w:val="24"/>
          <w:szCs w:val="24"/>
          <w:lang w:val="sr-Cyrl-RS"/>
        </w:rPr>
        <w:t>„дисјункција, линеарна блискост, синкретизам и вредност граматичког рода и броја утичу на одабир контролора слагања у роду када се синкретични дисјунктивни субјекат састоји из чланова различитог рода и броја</w:t>
      </w:r>
    </w:p>
    <w:p w:rsidR="00B2620F" w:rsidRPr="00AD3D04" w:rsidRDefault="00B2620F" w:rsidP="00B2620F">
      <w:pPr>
        <w:numPr>
          <w:ilvl w:val="0"/>
          <w:numId w:val="1"/>
        </w:numPr>
        <w:spacing w:after="160" w:line="240" w:lineRule="auto"/>
        <w:jc w:val="both"/>
        <w:rPr>
          <w:rStyle w:val="markedcontent"/>
          <w:rFonts w:ascii="Times New Roman" w:hAnsi="Times New Roman"/>
          <w:sz w:val="24"/>
          <w:szCs w:val="24"/>
          <w:lang w:val="sr-Cyrl-RS"/>
        </w:rPr>
      </w:pPr>
      <w:r w:rsidRPr="00AD3D04">
        <w:rPr>
          <w:rStyle w:val="markedcontent"/>
          <w:rFonts w:ascii="Times New Roman" w:hAnsi="Times New Roman"/>
          <w:sz w:val="24"/>
          <w:szCs w:val="24"/>
          <w:lang w:val="sr-Cyrl-RS"/>
        </w:rPr>
        <w:t>дисјункција, линеарна блискост и синкретизам утичу на избор различитих контролора за слагање у роду и за слагање у броју</w:t>
      </w:r>
    </w:p>
    <w:p w:rsidR="00B2620F" w:rsidRPr="00AD3D04" w:rsidRDefault="00B2620F" w:rsidP="00B2620F">
      <w:pPr>
        <w:numPr>
          <w:ilvl w:val="0"/>
          <w:numId w:val="1"/>
        </w:numPr>
        <w:spacing w:after="160" w:line="240" w:lineRule="auto"/>
        <w:jc w:val="both"/>
        <w:rPr>
          <w:rStyle w:val="markedcontent"/>
          <w:rFonts w:ascii="Times New Roman" w:hAnsi="Times New Roman"/>
          <w:sz w:val="24"/>
          <w:szCs w:val="24"/>
          <w:lang w:val="sr-Cyrl-RS"/>
        </w:rPr>
      </w:pPr>
      <w:r w:rsidRPr="00AD3D04">
        <w:rPr>
          <w:rStyle w:val="markedcontent"/>
          <w:rFonts w:ascii="Times New Roman" w:hAnsi="Times New Roman"/>
          <w:sz w:val="24"/>
          <w:szCs w:val="24"/>
          <w:lang w:val="sr-Cyrl-RS"/>
        </w:rPr>
        <w:t>дисјункција, линеарна блискост и вредност граматичког рода утичу на разрешење опционалности између слагања са првим и последњим чланом дисјунктивног субјекта када се дисјунктивни субјекат састоји из чланова мушког и женског/средњег рода множине у оба могућа редоследа</w:t>
      </w:r>
    </w:p>
    <w:p w:rsidR="00B2620F" w:rsidRPr="00AD3D04" w:rsidRDefault="00B2620F" w:rsidP="00F2656D">
      <w:pPr>
        <w:numPr>
          <w:ilvl w:val="0"/>
          <w:numId w:val="1"/>
        </w:numPr>
        <w:spacing w:after="160" w:line="240" w:lineRule="auto"/>
        <w:jc w:val="both"/>
        <w:rPr>
          <w:rFonts w:ascii="Times New Roman" w:hAnsi="Times New Roman"/>
          <w:sz w:val="24"/>
          <w:szCs w:val="24"/>
          <w:lang w:val="sr-Cyrl-RS"/>
        </w:rPr>
      </w:pPr>
      <w:r w:rsidRPr="00AD3D04">
        <w:rPr>
          <w:rStyle w:val="markedcontent"/>
          <w:rFonts w:ascii="Times New Roman" w:hAnsi="Times New Roman"/>
          <w:sz w:val="24"/>
          <w:szCs w:val="24"/>
          <w:lang w:val="sr-Cyrl-RS"/>
        </w:rPr>
        <w:t>дисјункција и конјункција утичу на разрешење опционалности између слагања са првим, последњим чланом и разрешеног слагања, када се координирани/дисјунктивни субјекат састоји из чланова истог/различитог броја (једнина и множина у оба могућа редоследа; множина) и различитог рода (женски и средњи у оба могућа редоследа)</w:t>
      </w:r>
      <w:r w:rsidR="00591E22" w:rsidRPr="00AD3D04">
        <w:rPr>
          <w:rStyle w:val="markedcontent"/>
          <w:rFonts w:ascii="Times New Roman" w:hAnsi="Times New Roman"/>
          <w:sz w:val="24"/>
          <w:szCs w:val="24"/>
          <w:lang w:val="sr-Cyrl-RS"/>
        </w:rPr>
        <w:t>“</w:t>
      </w:r>
      <w:r w:rsidRPr="00AD3D04">
        <w:rPr>
          <w:rStyle w:val="markedcontent"/>
          <w:rFonts w:ascii="Times New Roman" w:hAnsi="Times New Roman"/>
          <w:sz w:val="24"/>
          <w:szCs w:val="24"/>
          <w:lang w:val="sr-Cyrl-RS"/>
        </w:rPr>
        <w:t>.</w:t>
      </w:r>
    </w:p>
    <w:p w:rsidR="00591E22" w:rsidRPr="00AD3D04" w:rsidRDefault="00591E22" w:rsidP="00591E22">
      <w:pPr>
        <w:spacing w:after="0" w:line="240" w:lineRule="auto"/>
        <w:jc w:val="both"/>
        <w:rPr>
          <w:rFonts w:ascii="Times New Roman" w:eastAsia="Calibri" w:hAnsi="Times New Roman" w:cs="Times New Roman"/>
          <w:noProof/>
          <w:sz w:val="24"/>
          <w:szCs w:val="24"/>
        </w:rPr>
      </w:pPr>
      <w:r w:rsidRPr="00AD3D04">
        <w:rPr>
          <w:rFonts w:ascii="Times New Roman" w:hAnsi="Times New Roman"/>
          <w:noProof/>
          <w:sz w:val="24"/>
          <w:szCs w:val="24"/>
        </w:rPr>
        <w:t xml:space="preserve"> Одговори које</w:t>
      </w:r>
      <w:r w:rsidR="00655146" w:rsidRPr="00AD3D04">
        <w:rPr>
          <w:rFonts w:ascii="Times New Roman" w:hAnsi="Times New Roman"/>
          <w:noProof/>
          <w:sz w:val="24"/>
          <w:szCs w:val="24"/>
        </w:rPr>
        <w:t xml:space="preserve"> </w:t>
      </w:r>
      <w:r w:rsidR="00655146" w:rsidRPr="00AD3D04">
        <w:rPr>
          <w:rFonts w:ascii="Times New Roman" w:eastAsia="Calibri" w:hAnsi="Times New Roman" w:cs="Times New Roman"/>
          <w:noProof/>
          <w:sz w:val="24"/>
          <w:szCs w:val="24"/>
        </w:rPr>
        <w:t xml:space="preserve"> </w:t>
      </w:r>
      <w:r w:rsidRPr="00AD3D04">
        <w:rPr>
          <w:rFonts w:ascii="Times New Roman" w:eastAsia="Calibri" w:hAnsi="Times New Roman" w:cs="Times New Roman"/>
          <w:noProof/>
          <w:sz w:val="24"/>
          <w:szCs w:val="24"/>
          <w:lang w:val="sr-Cyrl-RS"/>
        </w:rPr>
        <w:t xml:space="preserve">на та питања </w:t>
      </w:r>
      <w:r w:rsidRPr="00AD3D04">
        <w:rPr>
          <w:rFonts w:ascii="Times New Roman" w:hAnsi="Times New Roman"/>
          <w:noProof/>
          <w:sz w:val="24"/>
          <w:szCs w:val="24"/>
        </w:rPr>
        <w:t>монографија</w:t>
      </w:r>
      <w:r w:rsidR="00655146" w:rsidRPr="00AD3D04">
        <w:rPr>
          <w:rFonts w:ascii="Times New Roman" w:hAnsi="Times New Roman"/>
          <w:noProof/>
          <w:sz w:val="24"/>
          <w:szCs w:val="24"/>
        </w:rPr>
        <w:t xml:space="preserve"> </w:t>
      </w:r>
      <w:r w:rsidR="00655146" w:rsidRPr="00AD3D04">
        <w:rPr>
          <w:rFonts w:ascii="Times New Roman" w:eastAsia="Calibri" w:hAnsi="Times New Roman" w:cs="Times New Roman"/>
          <w:noProof/>
          <w:sz w:val="24"/>
          <w:szCs w:val="24"/>
        </w:rPr>
        <w:t>Иване Митић</w:t>
      </w:r>
      <w:r w:rsidRPr="00AD3D04">
        <w:rPr>
          <w:rFonts w:ascii="Times New Roman" w:eastAsia="Calibri" w:hAnsi="Times New Roman" w:cs="Times New Roman"/>
          <w:noProof/>
          <w:sz w:val="24"/>
          <w:szCs w:val="24"/>
          <w:lang w:val="sr-Cyrl-RS"/>
        </w:rPr>
        <w:t xml:space="preserve"> доноси представљ</w:t>
      </w:r>
      <w:r w:rsidR="00D621D0" w:rsidRPr="00AD3D04">
        <w:rPr>
          <w:rFonts w:ascii="Times New Roman" w:eastAsia="Calibri" w:hAnsi="Times New Roman" w:cs="Times New Roman"/>
          <w:noProof/>
          <w:sz w:val="24"/>
          <w:szCs w:val="24"/>
          <w:lang w:val="sr-Cyrl-RS"/>
        </w:rPr>
        <w:t>ају сасвим нову теорију конгруен</w:t>
      </w:r>
      <w:r w:rsidRPr="00AD3D04">
        <w:rPr>
          <w:rFonts w:ascii="Times New Roman" w:eastAsia="Calibri" w:hAnsi="Times New Roman" w:cs="Times New Roman"/>
          <w:noProof/>
          <w:sz w:val="24"/>
          <w:szCs w:val="24"/>
          <w:lang w:val="sr-Cyrl-RS"/>
        </w:rPr>
        <w:t xml:space="preserve">ције предиката и субјекта, односно </w:t>
      </w:r>
      <w:r w:rsidR="00D621D0" w:rsidRPr="00AD3D04">
        <w:rPr>
          <w:rFonts w:ascii="Times New Roman" w:eastAsia="Calibri" w:hAnsi="Times New Roman" w:cs="Times New Roman"/>
          <w:noProof/>
          <w:sz w:val="24"/>
          <w:szCs w:val="24"/>
          <w:lang w:val="sr-Cyrl-RS"/>
        </w:rPr>
        <w:t xml:space="preserve">чланова </w:t>
      </w:r>
      <w:r w:rsidRPr="00AD3D04">
        <w:rPr>
          <w:rFonts w:ascii="Times New Roman" w:eastAsia="Calibri" w:hAnsi="Times New Roman" w:cs="Times New Roman"/>
          <w:noProof/>
          <w:sz w:val="24"/>
          <w:szCs w:val="24"/>
          <w:lang w:val="sr-Cyrl-RS"/>
        </w:rPr>
        <w:t>субјекатске дисјунктивне синтагме</w:t>
      </w:r>
      <w:r w:rsidR="00D621D0" w:rsidRPr="00AD3D04">
        <w:rPr>
          <w:rFonts w:ascii="Times New Roman" w:eastAsia="Calibri" w:hAnsi="Times New Roman" w:cs="Times New Roman"/>
          <w:noProof/>
          <w:sz w:val="24"/>
          <w:szCs w:val="24"/>
          <w:lang w:val="sr-Cyrl-RS"/>
        </w:rPr>
        <w:t xml:space="preserve"> са предикатом</w:t>
      </w:r>
      <w:r w:rsidRPr="00AD3D04">
        <w:rPr>
          <w:rFonts w:ascii="Times New Roman" w:eastAsia="Calibri" w:hAnsi="Times New Roman" w:cs="Times New Roman"/>
          <w:noProof/>
          <w:sz w:val="24"/>
          <w:szCs w:val="24"/>
          <w:lang w:val="sr-Cyrl-RS"/>
        </w:rPr>
        <w:t xml:space="preserve">. Они  </w:t>
      </w:r>
      <w:r w:rsidRPr="00AD3D04">
        <w:rPr>
          <w:rFonts w:ascii="Times New Roman" w:eastAsia="Calibri" w:hAnsi="Times New Roman" w:cs="Times New Roman"/>
          <w:noProof/>
          <w:sz w:val="24"/>
          <w:szCs w:val="24"/>
        </w:rPr>
        <w:t>показују да:</w:t>
      </w:r>
    </w:p>
    <w:p w:rsidR="00911732" w:rsidRPr="00AD3D04" w:rsidRDefault="00F2656D" w:rsidP="00251160">
      <w:pPr>
        <w:pStyle w:val="ListParagraph"/>
        <w:numPr>
          <w:ilvl w:val="0"/>
          <w:numId w:val="2"/>
        </w:numPr>
        <w:spacing w:after="120" w:line="240" w:lineRule="auto"/>
        <w:ind w:left="714" w:hanging="357"/>
        <w:jc w:val="both"/>
        <w:rPr>
          <w:rStyle w:val="markedcontent"/>
          <w:rFonts w:ascii="Times New Roman" w:eastAsia="Calibri" w:hAnsi="Times New Roman" w:cs="Times New Roman"/>
          <w:noProof/>
          <w:sz w:val="24"/>
          <w:szCs w:val="24"/>
        </w:rPr>
      </w:pPr>
      <w:r w:rsidRPr="00AD3D04">
        <w:rPr>
          <w:rStyle w:val="markedcontent"/>
          <w:rFonts w:ascii="Times New Roman" w:hAnsi="Times New Roman"/>
          <w:sz w:val="24"/>
          <w:szCs w:val="24"/>
          <w:lang w:val="sr-Cyrl-RS"/>
        </w:rPr>
        <w:t>морфофонолошки фактори какав је линеарна блискост у спрези са граматичким факторима какав је род (мушки и средњи), те са семантиком везника имају утицаја на настанак хијерархијског слагања</w:t>
      </w:r>
      <w:r w:rsidR="00D621D0" w:rsidRPr="00AD3D04">
        <w:rPr>
          <w:rStyle w:val="markedcontent"/>
          <w:rFonts w:ascii="Times New Roman" w:hAnsi="Times New Roman"/>
          <w:sz w:val="24"/>
          <w:szCs w:val="24"/>
          <w:lang w:val="sr-Cyrl-RS"/>
        </w:rPr>
        <w:t>;</w:t>
      </w:r>
    </w:p>
    <w:p w:rsidR="00F2656D" w:rsidRPr="00AD3D04" w:rsidRDefault="00591E22" w:rsidP="00251160">
      <w:pPr>
        <w:pStyle w:val="ListParagraph"/>
        <w:numPr>
          <w:ilvl w:val="0"/>
          <w:numId w:val="2"/>
        </w:numPr>
        <w:spacing w:after="120" w:line="240" w:lineRule="auto"/>
        <w:ind w:left="714" w:hanging="357"/>
        <w:jc w:val="both"/>
        <w:rPr>
          <w:rFonts w:ascii="Times New Roman" w:eastAsia="Calibri" w:hAnsi="Times New Roman" w:cs="Times New Roman"/>
          <w:noProof/>
          <w:sz w:val="24"/>
          <w:szCs w:val="24"/>
        </w:rPr>
      </w:pPr>
      <w:r w:rsidRPr="00AD3D04">
        <w:rPr>
          <w:rFonts w:ascii="Times New Roman" w:eastAsia="Calibri" w:hAnsi="Times New Roman" w:cs="Times New Roman"/>
          <w:noProof/>
          <w:sz w:val="24"/>
          <w:szCs w:val="24"/>
        </w:rPr>
        <w:t xml:space="preserve">линеарна блискост </w:t>
      </w:r>
      <w:r w:rsidRPr="00AD3D04">
        <w:rPr>
          <w:rFonts w:ascii="Times New Roman" w:eastAsia="Calibri" w:hAnsi="Times New Roman" w:cs="Times New Roman"/>
          <w:noProof/>
          <w:sz w:val="24"/>
          <w:szCs w:val="24"/>
          <w:lang w:val="sr-Cyrl-RS"/>
        </w:rPr>
        <w:t xml:space="preserve">представља </w:t>
      </w:r>
      <w:r w:rsidR="00655146" w:rsidRPr="00AD3D04">
        <w:rPr>
          <w:rFonts w:ascii="Times New Roman" w:eastAsia="Calibri" w:hAnsi="Times New Roman" w:cs="Times New Roman"/>
          <w:noProof/>
          <w:sz w:val="24"/>
          <w:szCs w:val="24"/>
        </w:rPr>
        <w:t>фактор који утиче не само на избор последњег, већ и избор првог члана кон</w:t>
      </w:r>
      <w:r w:rsidR="00911732" w:rsidRPr="00AD3D04">
        <w:rPr>
          <w:rFonts w:ascii="Times New Roman" w:eastAsia="Calibri" w:hAnsi="Times New Roman" w:cs="Times New Roman"/>
          <w:noProof/>
          <w:sz w:val="24"/>
          <w:szCs w:val="24"/>
        </w:rPr>
        <w:t xml:space="preserve">јункције за контролора слагања – </w:t>
      </w:r>
      <w:r w:rsidR="00F2656D" w:rsidRPr="00AD3D04">
        <w:rPr>
          <w:rFonts w:ascii="Times New Roman" w:hAnsi="Times New Roman"/>
          <w:sz w:val="24"/>
          <w:szCs w:val="24"/>
          <w:lang w:val="sr-Cyrl-RS"/>
        </w:rPr>
        <w:t>на слагање са последњим чланом поред морфофонолошких и граматичких фактора може утицати и семантика везника</w:t>
      </w:r>
      <w:r w:rsidR="00D621D0" w:rsidRPr="00AD3D04">
        <w:rPr>
          <w:rFonts w:ascii="Times New Roman" w:hAnsi="Times New Roman"/>
          <w:sz w:val="24"/>
          <w:szCs w:val="24"/>
          <w:lang w:val="sr-Cyrl-RS"/>
        </w:rPr>
        <w:t>;</w:t>
      </w:r>
    </w:p>
    <w:p w:rsidR="00591E22" w:rsidRPr="00AD3D04" w:rsidRDefault="00911732" w:rsidP="00251160">
      <w:pPr>
        <w:pStyle w:val="ListParagraph"/>
        <w:numPr>
          <w:ilvl w:val="0"/>
          <w:numId w:val="2"/>
        </w:numPr>
        <w:spacing w:after="120" w:line="240" w:lineRule="auto"/>
        <w:ind w:left="714" w:hanging="357"/>
        <w:jc w:val="both"/>
        <w:rPr>
          <w:rFonts w:ascii="Times New Roman" w:eastAsia="Calibri" w:hAnsi="Times New Roman" w:cs="Times New Roman"/>
          <w:noProof/>
          <w:sz w:val="24"/>
          <w:szCs w:val="24"/>
        </w:rPr>
      </w:pPr>
      <w:r w:rsidRPr="00AD3D04">
        <w:rPr>
          <w:rFonts w:ascii="Times New Roman" w:hAnsi="Times New Roman"/>
          <w:sz w:val="24"/>
          <w:szCs w:val="24"/>
          <w:lang w:val="sr-Cyrl-RS"/>
        </w:rPr>
        <w:t xml:space="preserve">разријешено слагање у </w:t>
      </w:r>
      <w:r w:rsidR="00D621D0" w:rsidRPr="00AD3D04">
        <w:rPr>
          <w:rFonts w:ascii="Times New Roman" w:hAnsi="Times New Roman"/>
          <w:sz w:val="24"/>
          <w:szCs w:val="24"/>
          <w:lang w:val="sr-Cyrl-RS"/>
        </w:rPr>
        <w:t>дисјункцији није фреквентан, но</w:t>
      </w:r>
      <w:r w:rsidRPr="00AD3D04">
        <w:rPr>
          <w:rFonts w:ascii="Times New Roman" w:hAnsi="Times New Roman"/>
          <w:sz w:val="24"/>
          <w:szCs w:val="24"/>
          <w:lang w:val="sr-Cyrl-RS"/>
        </w:rPr>
        <w:t xml:space="preserve"> јесте прихватљив образазац</w:t>
      </w:r>
      <w:r w:rsidR="00251160" w:rsidRPr="00AD3D04">
        <w:rPr>
          <w:rFonts w:ascii="Times New Roman" w:hAnsi="Times New Roman"/>
          <w:sz w:val="24"/>
          <w:szCs w:val="24"/>
          <w:lang w:val="sr-Cyrl-RS"/>
        </w:rPr>
        <w:t xml:space="preserve">, али </w:t>
      </w:r>
      <w:r w:rsidRPr="00AD3D04">
        <w:rPr>
          <w:rFonts w:ascii="Times New Roman" w:hAnsi="Times New Roman"/>
          <w:sz w:val="24"/>
          <w:szCs w:val="24"/>
          <w:lang w:val="sr-Cyrl-RS"/>
        </w:rPr>
        <w:t xml:space="preserve"> </w:t>
      </w:r>
      <w:r w:rsidR="00251160" w:rsidRPr="00AD3D04">
        <w:rPr>
          <w:rStyle w:val="markedcontent"/>
          <w:rFonts w:ascii="Times New Roman" w:hAnsi="Times New Roman"/>
          <w:sz w:val="24"/>
          <w:szCs w:val="24"/>
          <w:lang w:val="sr-Cyrl-RS"/>
        </w:rPr>
        <w:t>када се као диференцијални фактор укључи семантика везника, усљед јаке опционалности између слагања са првим и посљедњим чланом, прихватљивост разријешеног слагања опада</w:t>
      </w:r>
      <w:r w:rsidR="00D621D0" w:rsidRPr="00AD3D04">
        <w:rPr>
          <w:rStyle w:val="markedcontent"/>
          <w:rFonts w:ascii="Times New Roman" w:hAnsi="Times New Roman"/>
          <w:sz w:val="24"/>
          <w:szCs w:val="24"/>
          <w:lang w:val="sr-Cyrl-RS"/>
        </w:rPr>
        <w:t>;</w:t>
      </w:r>
    </w:p>
    <w:p w:rsidR="00591E22" w:rsidRPr="00AD3D04" w:rsidRDefault="00655146" w:rsidP="00251160">
      <w:pPr>
        <w:pStyle w:val="ListParagraph"/>
        <w:numPr>
          <w:ilvl w:val="0"/>
          <w:numId w:val="2"/>
        </w:numPr>
        <w:spacing w:after="120" w:line="240" w:lineRule="auto"/>
        <w:ind w:left="714" w:hanging="357"/>
        <w:jc w:val="both"/>
        <w:rPr>
          <w:rFonts w:ascii="Times New Roman" w:eastAsia="Calibri" w:hAnsi="Times New Roman" w:cs="Times New Roman"/>
          <w:noProof/>
          <w:sz w:val="24"/>
          <w:szCs w:val="24"/>
        </w:rPr>
      </w:pPr>
      <w:r w:rsidRPr="00AD3D04">
        <w:rPr>
          <w:rFonts w:ascii="Times New Roman" w:eastAsia="Calibri" w:hAnsi="Times New Roman" w:cs="Times New Roman"/>
          <w:noProof/>
          <w:sz w:val="24"/>
          <w:szCs w:val="24"/>
        </w:rPr>
        <w:t xml:space="preserve">род и број се одвојено репрезентују и одвојено слажу у српском језику; </w:t>
      </w:r>
    </w:p>
    <w:p w:rsidR="00655146" w:rsidRPr="00AD3D04" w:rsidRDefault="00655146" w:rsidP="00251160">
      <w:pPr>
        <w:pStyle w:val="ListParagraph"/>
        <w:numPr>
          <w:ilvl w:val="0"/>
          <w:numId w:val="2"/>
        </w:numPr>
        <w:spacing w:after="120" w:line="240" w:lineRule="auto"/>
        <w:ind w:left="714" w:hanging="357"/>
        <w:jc w:val="both"/>
        <w:rPr>
          <w:rFonts w:ascii="Times New Roman" w:eastAsia="Calibri" w:hAnsi="Times New Roman" w:cs="Times New Roman"/>
          <w:noProof/>
          <w:sz w:val="24"/>
          <w:szCs w:val="24"/>
        </w:rPr>
      </w:pPr>
      <w:r w:rsidRPr="00AD3D04">
        <w:rPr>
          <w:rFonts w:ascii="Times New Roman" w:eastAsia="Calibri" w:hAnsi="Times New Roman" w:cs="Times New Roman"/>
          <w:noProof/>
          <w:sz w:val="24"/>
          <w:szCs w:val="24"/>
        </w:rPr>
        <w:t xml:space="preserve">у конкуренцији са бројем </w:t>
      </w:r>
      <w:r w:rsidR="00591E22" w:rsidRPr="00AD3D04">
        <w:rPr>
          <w:rFonts w:ascii="Times New Roman" w:eastAsia="Calibri" w:hAnsi="Times New Roman" w:cs="Times New Roman"/>
          <w:noProof/>
          <w:sz w:val="24"/>
          <w:szCs w:val="24"/>
          <w:lang w:val="sr-Cyrl-RS"/>
        </w:rPr>
        <w:t>род је јачи фактор</w:t>
      </w:r>
      <w:r w:rsidRPr="00AD3D04">
        <w:rPr>
          <w:rFonts w:ascii="Times New Roman" w:eastAsia="Calibri" w:hAnsi="Times New Roman" w:cs="Times New Roman"/>
          <w:noProof/>
          <w:sz w:val="24"/>
          <w:szCs w:val="24"/>
        </w:rPr>
        <w:t xml:space="preserve"> о</w:t>
      </w:r>
      <w:r w:rsidR="00591E22" w:rsidRPr="00AD3D04">
        <w:rPr>
          <w:rFonts w:ascii="Times New Roman" w:eastAsia="Calibri" w:hAnsi="Times New Roman" w:cs="Times New Roman"/>
          <w:noProof/>
          <w:sz w:val="24"/>
          <w:szCs w:val="24"/>
        </w:rPr>
        <w:t>дређивања контролора слагања, нарочито када</w:t>
      </w:r>
      <w:r w:rsidRPr="00AD3D04">
        <w:rPr>
          <w:rFonts w:ascii="Times New Roman" w:eastAsia="Calibri" w:hAnsi="Times New Roman" w:cs="Times New Roman"/>
          <w:noProof/>
          <w:sz w:val="24"/>
          <w:szCs w:val="24"/>
        </w:rPr>
        <w:t xml:space="preserve"> је контролор за род члан женског рода.</w:t>
      </w:r>
    </w:p>
    <w:p w:rsidR="00655146" w:rsidRPr="00AD3D04" w:rsidRDefault="00D621D0" w:rsidP="00996EB2">
      <w:pPr>
        <w:spacing w:after="0" w:line="240" w:lineRule="auto"/>
        <w:ind w:firstLine="357"/>
        <w:jc w:val="both"/>
        <w:rPr>
          <w:rFonts w:ascii="Times New Roman" w:hAnsi="Times New Roman"/>
          <w:noProof/>
          <w:sz w:val="24"/>
          <w:szCs w:val="24"/>
          <w:lang w:val="sr-Cyrl-RS"/>
        </w:rPr>
      </w:pPr>
      <w:r w:rsidRPr="00AD3D04">
        <w:rPr>
          <w:rFonts w:ascii="Times New Roman" w:hAnsi="Times New Roman"/>
          <w:noProof/>
          <w:sz w:val="24"/>
          <w:szCs w:val="24"/>
        </w:rPr>
        <w:t xml:space="preserve">Дати </w:t>
      </w:r>
      <w:r w:rsidRPr="00AD3D04">
        <w:rPr>
          <w:rFonts w:ascii="Times New Roman" w:hAnsi="Times New Roman"/>
          <w:noProof/>
          <w:sz w:val="24"/>
          <w:szCs w:val="24"/>
          <w:lang w:val="sr-Cyrl-RS"/>
        </w:rPr>
        <w:t>и бројни други р</w:t>
      </w:r>
      <w:r w:rsidR="00591E22" w:rsidRPr="00AD3D04">
        <w:rPr>
          <w:rFonts w:ascii="Times New Roman" w:hAnsi="Times New Roman"/>
          <w:noProof/>
          <w:sz w:val="24"/>
          <w:szCs w:val="24"/>
        </w:rPr>
        <w:t xml:space="preserve">езултати </w:t>
      </w:r>
      <w:r w:rsidRPr="00AD3D04">
        <w:rPr>
          <w:rFonts w:ascii="Times New Roman" w:hAnsi="Times New Roman"/>
          <w:noProof/>
          <w:sz w:val="24"/>
          <w:szCs w:val="24"/>
          <w:lang w:val="sr-Cyrl-RS"/>
        </w:rPr>
        <w:t xml:space="preserve">проведеног истраживања </w:t>
      </w:r>
      <w:r w:rsidR="00591E22" w:rsidRPr="00AD3D04">
        <w:rPr>
          <w:rFonts w:ascii="Times New Roman" w:hAnsi="Times New Roman"/>
          <w:noProof/>
          <w:sz w:val="24"/>
          <w:szCs w:val="24"/>
          <w:lang w:val="sr-Cyrl-RS"/>
        </w:rPr>
        <w:t xml:space="preserve">су не само иновативни него и систематични и показују математичком прецизношћу </w:t>
      </w:r>
      <w:r w:rsidR="00F2656D" w:rsidRPr="00AD3D04">
        <w:rPr>
          <w:rFonts w:ascii="Times New Roman" w:hAnsi="Times New Roman"/>
          <w:noProof/>
          <w:sz w:val="24"/>
          <w:szCs w:val="24"/>
          <w:lang w:val="sr-Cyrl-RS"/>
        </w:rPr>
        <w:t>релације између издвојених и анализираних фактора конгруенције, односно представљају монографију Иване Митић као дјело које даје вриједан допринос српској синта</w:t>
      </w:r>
      <w:r w:rsidR="00B91D35" w:rsidRPr="00AD3D04">
        <w:rPr>
          <w:rFonts w:ascii="Times New Roman" w:hAnsi="Times New Roman"/>
          <w:noProof/>
          <w:sz w:val="24"/>
          <w:szCs w:val="24"/>
          <w:lang w:val="sr-Cyrl-RS"/>
        </w:rPr>
        <w:t xml:space="preserve">кси. Монографија примјеном </w:t>
      </w:r>
      <w:r w:rsidR="00B91D35" w:rsidRPr="00AD3D04">
        <w:rPr>
          <w:rFonts w:ascii="Times New Roman" w:hAnsi="Times New Roman"/>
          <w:noProof/>
          <w:sz w:val="24"/>
          <w:szCs w:val="24"/>
          <w:lang w:val="sr-Cyrl-RS"/>
        </w:rPr>
        <w:lastRenderedPageBreak/>
        <w:t>функционалног теоријско-емпиријског приступа анализи грађе представља и добар и подстицајан примјер за приступ будућим истраживањима конгруенције чланова реченице српског језика.</w:t>
      </w:r>
      <w:r w:rsidR="00F2656D" w:rsidRPr="00AD3D04">
        <w:rPr>
          <w:rFonts w:ascii="Times New Roman" w:hAnsi="Times New Roman"/>
          <w:noProof/>
          <w:sz w:val="24"/>
          <w:szCs w:val="24"/>
          <w:lang w:val="sr-Cyrl-RS"/>
        </w:rPr>
        <w:t xml:space="preserve"> </w:t>
      </w:r>
      <w:r w:rsidR="00996EB2" w:rsidRPr="00AD3D04">
        <w:rPr>
          <w:rFonts w:ascii="Times New Roman" w:hAnsi="Times New Roman"/>
          <w:noProof/>
          <w:sz w:val="24"/>
          <w:szCs w:val="24"/>
          <w:lang w:val="sr-Cyrl-RS"/>
        </w:rPr>
        <w:t xml:space="preserve">Зато са задовољством предлажем издавачу да монографију Иване Митић </w:t>
      </w:r>
      <w:r w:rsidR="00996EB2" w:rsidRPr="00AD3D04">
        <w:rPr>
          <w:rFonts w:ascii="Times New Roman" w:eastAsia="Calibri" w:hAnsi="Times New Roman" w:cs="Times New Roman"/>
          <w:iCs/>
          <w:color w:val="222222"/>
          <w:sz w:val="24"/>
          <w:szCs w:val="24"/>
        </w:rPr>
        <w:t>О КОНГРУЕН</w:t>
      </w:r>
      <w:r w:rsidR="00996EB2" w:rsidRPr="00AD3D04">
        <w:rPr>
          <w:rFonts w:ascii="Times New Roman" w:hAnsi="Times New Roman"/>
          <w:iCs/>
          <w:color w:val="222222"/>
          <w:sz w:val="24"/>
          <w:szCs w:val="24"/>
        </w:rPr>
        <w:t>ЦИЈИ ПРЕДИКАТА СА ДИСЈУНКТИВНИМ</w:t>
      </w:r>
      <w:r w:rsidR="00996EB2" w:rsidRPr="00AD3D04">
        <w:rPr>
          <w:rFonts w:ascii="Times New Roman" w:hAnsi="Times New Roman"/>
          <w:iCs/>
          <w:color w:val="222222"/>
          <w:sz w:val="24"/>
          <w:szCs w:val="24"/>
          <w:lang w:val="en-US"/>
        </w:rPr>
        <w:t xml:space="preserve"> </w:t>
      </w:r>
      <w:r w:rsidR="00996EB2" w:rsidRPr="00AD3D04">
        <w:rPr>
          <w:rFonts w:ascii="Times New Roman" w:eastAsia="Calibri" w:hAnsi="Times New Roman" w:cs="Times New Roman"/>
          <w:iCs/>
          <w:color w:val="222222"/>
          <w:sz w:val="24"/>
          <w:szCs w:val="24"/>
        </w:rPr>
        <w:t xml:space="preserve">СУБЈЕКТОМ </w:t>
      </w:r>
      <w:r w:rsidR="00996EB2" w:rsidRPr="00AD3D04">
        <w:rPr>
          <w:rFonts w:ascii="Times New Roman" w:hAnsi="Times New Roman"/>
          <w:iCs/>
          <w:color w:val="222222"/>
          <w:sz w:val="24"/>
          <w:szCs w:val="24"/>
          <w:lang w:val="en-US"/>
        </w:rPr>
        <w:t xml:space="preserve"> </w:t>
      </w:r>
      <w:r w:rsidR="00996EB2" w:rsidRPr="00AD3D04">
        <w:rPr>
          <w:rFonts w:ascii="Times New Roman" w:eastAsia="Calibri" w:hAnsi="Times New Roman" w:cs="Times New Roman"/>
          <w:iCs/>
          <w:color w:val="222222"/>
          <w:sz w:val="24"/>
          <w:szCs w:val="24"/>
        </w:rPr>
        <w:t>У СРПСКОМ ЈЕЗИКУ</w:t>
      </w:r>
      <w:r w:rsidR="00B91D35" w:rsidRPr="00AD3D04">
        <w:rPr>
          <w:rFonts w:ascii="Times New Roman" w:eastAsia="Calibri" w:hAnsi="Times New Roman" w:cs="Times New Roman"/>
          <w:iCs/>
          <w:color w:val="222222"/>
          <w:sz w:val="24"/>
          <w:szCs w:val="24"/>
          <w:lang w:val="sr-Cyrl-RS"/>
        </w:rPr>
        <w:t xml:space="preserve"> штампа и тако је учини доступном стручно и научно оријентисаним читаоцима. </w:t>
      </w:r>
    </w:p>
    <w:p w:rsidR="00996EB2" w:rsidRPr="00AD3D04" w:rsidRDefault="00996EB2" w:rsidP="00655146">
      <w:pPr>
        <w:spacing w:after="0" w:line="240" w:lineRule="auto"/>
        <w:jc w:val="both"/>
        <w:rPr>
          <w:rFonts w:ascii="Times New Roman" w:hAnsi="Times New Roman"/>
          <w:noProof/>
          <w:sz w:val="24"/>
          <w:szCs w:val="24"/>
        </w:rPr>
      </w:pPr>
    </w:p>
    <w:p w:rsidR="00AD3D04" w:rsidRDefault="00AD3D04" w:rsidP="00C44E07">
      <w:pPr>
        <w:spacing w:after="120" w:line="240" w:lineRule="auto"/>
        <w:ind w:firstLine="720"/>
        <w:jc w:val="both"/>
        <w:rPr>
          <w:rFonts w:ascii="Times New Roman" w:hAnsi="Times New Roman" w:cs="Times New Roman"/>
          <w:sz w:val="24"/>
          <w:szCs w:val="24"/>
          <w:lang w:val="sr-Cyrl-RS"/>
        </w:rPr>
      </w:pPr>
    </w:p>
    <w:p w:rsidR="00C44E07" w:rsidRPr="00AD3D04" w:rsidRDefault="00AD3D04" w:rsidP="00C44E07">
      <w:pPr>
        <w:spacing w:after="120" w:line="240" w:lineRule="auto"/>
        <w:ind w:firstLine="720"/>
        <w:jc w:val="both"/>
        <w:rPr>
          <w:rFonts w:ascii="Times New Roman" w:hAnsi="Times New Roman" w:cs="Times New Roman"/>
          <w:sz w:val="24"/>
          <w:szCs w:val="24"/>
          <w:lang w:val="sr-Cyrl-RS"/>
        </w:rPr>
      </w:pPr>
      <w:r w:rsidRPr="00AD3D04">
        <w:rPr>
          <w:rFonts w:ascii="Times New Roman" w:hAnsi="Times New Roman" w:cs="Times New Roman"/>
          <w:sz w:val="24"/>
          <w:szCs w:val="24"/>
          <w:lang w:val="sr-Cyrl-RS"/>
        </w:rPr>
        <w:t>Источно Сарајево, 10. 10. 2023.                                            Миланка Бабић</w:t>
      </w:r>
    </w:p>
    <w:p w:rsidR="00AD3D04" w:rsidRPr="00AD3D04" w:rsidRDefault="00AD3D04" w:rsidP="00C44E07">
      <w:pPr>
        <w:spacing w:after="120" w:line="240" w:lineRule="auto"/>
        <w:ind w:firstLine="720"/>
        <w:jc w:val="both"/>
        <w:rPr>
          <w:rFonts w:ascii="Times New Roman" w:hAnsi="Times New Roman" w:cs="Times New Roman"/>
          <w:sz w:val="24"/>
          <w:szCs w:val="24"/>
          <w:lang w:val="sr-Cyrl-RS"/>
        </w:rPr>
      </w:pPr>
      <w:r w:rsidRPr="00AD3D04">
        <w:rPr>
          <w:rFonts w:ascii="Times New Roman" w:hAnsi="Times New Roman" w:cs="Times New Roman"/>
          <w:sz w:val="24"/>
          <w:szCs w:val="24"/>
          <w:lang w:val="sr-Cyrl-RS"/>
        </w:rPr>
        <w:t xml:space="preserve">                                                                                             </w:t>
      </w:r>
      <w:r w:rsidRPr="00AD3D04">
        <w:rPr>
          <w:rFonts w:ascii="Times New Roman" w:hAnsi="Times New Roman" w:cs="Times New Roman"/>
          <w:noProof/>
          <w:sz w:val="24"/>
          <w:szCs w:val="24"/>
          <w:lang w:val="en-US"/>
        </w:rPr>
        <w:drawing>
          <wp:inline distT="0" distB="0" distL="0" distR="0">
            <wp:extent cx="1447800" cy="428625"/>
            <wp:effectExtent l="0" t="0" r="0" b="9525"/>
            <wp:docPr id="1" name="Picture 1" descr="C:\Users\Korisnik\Desktop\POT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esktop\POTPI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428625"/>
                    </a:xfrm>
                    <a:prstGeom prst="rect">
                      <a:avLst/>
                    </a:prstGeom>
                    <a:noFill/>
                    <a:ln>
                      <a:noFill/>
                    </a:ln>
                  </pic:spPr>
                </pic:pic>
              </a:graphicData>
            </a:graphic>
          </wp:inline>
        </w:drawing>
      </w:r>
      <w:r w:rsidRPr="00AD3D04">
        <w:rPr>
          <w:rFonts w:ascii="Times New Roman" w:hAnsi="Times New Roman" w:cs="Times New Roman"/>
          <w:sz w:val="24"/>
          <w:szCs w:val="24"/>
          <w:lang w:val="sr-Cyrl-RS"/>
        </w:rPr>
        <w:t xml:space="preserve"> </w:t>
      </w:r>
    </w:p>
    <w:sectPr w:rsidR="00AD3D04" w:rsidRPr="00AD3D04">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846" w:rsidRDefault="00E76846" w:rsidP="003E61ED">
      <w:pPr>
        <w:spacing w:after="0" w:line="240" w:lineRule="auto"/>
      </w:pPr>
      <w:r>
        <w:separator/>
      </w:r>
    </w:p>
  </w:endnote>
  <w:endnote w:type="continuationSeparator" w:id="0">
    <w:p w:rsidR="00E76846" w:rsidRDefault="00E76846" w:rsidP="003E6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935109"/>
      <w:docPartObj>
        <w:docPartGallery w:val="Page Numbers (Bottom of Page)"/>
        <w:docPartUnique/>
      </w:docPartObj>
    </w:sdtPr>
    <w:sdtEndPr>
      <w:rPr>
        <w:noProof/>
      </w:rPr>
    </w:sdtEndPr>
    <w:sdtContent>
      <w:p w:rsidR="00F04FCD" w:rsidRDefault="00F04FCD">
        <w:pPr>
          <w:pStyle w:val="Footer"/>
          <w:jc w:val="right"/>
        </w:pPr>
        <w:r>
          <w:fldChar w:fldCharType="begin"/>
        </w:r>
        <w:r>
          <w:instrText xml:space="preserve"> PAGE   \* MERGEFORMAT </w:instrText>
        </w:r>
        <w:r>
          <w:fldChar w:fldCharType="separate"/>
        </w:r>
        <w:r w:rsidR="00706EB2">
          <w:rPr>
            <w:noProof/>
          </w:rPr>
          <w:t>2</w:t>
        </w:r>
        <w:r>
          <w:rPr>
            <w:noProof/>
          </w:rPr>
          <w:fldChar w:fldCharType="end"/>
        </w:r>
      </w:p>
    </w:sdtContent>
  </w:sdt>
  <w:p w:rsidR="00F04FCD" w:rsidRDefault="00F04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846" w:rsidRDefault="00E76846" w:rsidP="003E61ED">
      <w:pPr>
        <w:spacing w:after="0" w:line="240" w:lineRule="auto"/>
      </w:pPr>
      <w:r>
        <w:separator/>
      </w:r>
    </w:p>
  </w:footnote>
  <w:footnote w:type="continuationSeparator" w:id="0">
    <w:p w:rsidR="00E76846" w:rsidRDefault="00E76846" w:rsidP="003E61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375D0"/>
    <w:multiLevelType w:val="hybridMultilevel"/>
    <w:tmpl w:val="22D6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B64F71"/>
    <w:multiLevelType w:val="hybridMultilevel"/>
    <w:tmpl w:val="02060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060"/>
    <w:rsid w:val="00251160"/>
    <w:rsid w:val="002E6C0C"/>
    <w:rsid w:val="00362A9F"/>
    <w:rsid w:val="003E61ED"/>
    <w:rsid w:val="004F4251"/>
    <w:rsid w:val="00591E22"/>
    <w:rsid w:val="005C0060"/>
    <w:rsid w:val="00655146"/>
    <w:rsid w:val="0070352A"/>
    <w:rsid w:val="00706EB2"/>
    <w:rsid w:val="00795E15"/>
    <w:rsid w:val="00847F27"/>
    <w:rsid w:val="00911732"/>
    <w:rsid w:val="00996EB2"/>
    <w:rsid w:val="009B52A7"/>
    <w:rsid w:val="00A555C7"/>
    <w:rsid w:val="00AD3D04"/>
    <w:rsid w:val="00B2620F"/>
    <w:rsid w:val="00B91D35"/>
    <w:rsid w:val="00C44E07"/>
    <w:rsid w:val="00C46923"/>
    <w:rsid w:val="00D621D0"/>
    <w:rsid w:val="00E45A61"/>
    <w:rsid w:val="00E76846"/>
    <w:rsid w:val="00EE32C8"/>
    <w:rsid w:val="00F04FCD"/>
    <w:rsid w:val="00F2656D"/>
    <w:rsid w:val="00F37D71"/>
    <w:rsid w:val="00FA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060"/>
    <w:pPr>
      <w:spacing w:after="200" w:line="276" w:lineRule="auto"/>
    </w:pPr>
    <w:rPr>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E61ED"/>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3E61ED"/>
    <w:rPr>
      <w:rFonts w:ascii="Calibri" w:eastAsia="Calibri" w:hAnsi="Calibri" w:cs="Times New Roman"/>
      <w:sz w:val="20"/>
      <w:szCs w:val="20"/>
    </w:rPr>
  </w:style>
  <w:style w:type="character" w:styleId="FootnoteReference">
    <w:name w:val="footnote reference"/>
    <w:uiPriority w:val="99"/>
    <w:semiHidden/>
    <w:unhideWhenUsed/>
    <w:rsid w:val="003E61ED"/>
    <w:rPr>
      <w:vertAlign w:val="superscript"/>
    </w:rPr>
  </w:style>
  <w:style w:type="paragraph" w:styleId="NoSpacing">
    <w:name w:val="No Spacing"/>
    <w:link w:val="NoSpacingChar"/>
    <w:qFormat/>
    <w:rsid w:val="00C44E07"/>
    <w:pPr>
      <w:spacing w:after="0" w:line="240" w:lineRule="auto"/>
    </w:pPr>
    <w:rPr>
      <w:rFonts w:ascii="Calibri" w:eastAsia="Calibri" w:hAnsi="Calibri" w:cs="Times New Roman"/>
      <w:sz w:val="20"/>
      <w:szCs w:val="20"/>
      <w:lang w:val="de-AT" w:eastAsia="de-AT"/>
    </w:rPr>
  </w:style>
  <w:style w:type="character" w:customStyle="1" w:styleId="NoSpacingChar">
    <w:name w:val="No Spacing Char"/>
    <w:link w:val="NoSpacing"/>
    <w:rsid w:val="00C44E07"/>
    <w:rPr>
      <w:rFonts w:ascii="Calibri" w:eastAsia="Calibri" w:hAnsi="Calibri" w:cs="Times New Roman"/>
      <w:sz w:val="20"/>
      <w:szCs w:val="20"/>
      <w:lang w:val="de-AT" w:eastAsia="de-AT"/>
    </w:rPr>
  </w:style>
  <w:style w:type="paragraph" w:styleId="Header">
    <w:name w:val="header"/>
    <w:basedOn w:val="Normal"/>
    <w:link w:val="HeaderChar"/>
    <w:uiPriority w:val="99"/>
    <w:unhideWhenUsed/>
    <w:rsid w:val="00F04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FCD"/>
    <w:rPr>
      <w:lang w:val="sr-Latn-BA"/>
    </w:rPr>
  </w:style>
  <w:style w:type="paragraph" w:styleId="Footer">
    <w:name w:val="footer"/>
    <w:basedOn w:val="Normal"/>
    <w:link w:val="FooterChar"/>
    <w:uiPriority w:val="99"/>
    <w:unhideWhenUsed/>
    <w:rsid w:val="00F04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FCD"/>
    <w:rPr>
      <w:lang w:val="sr-Latn-BA"/>
    </w:rPr>
  </w:style>
  <w:style w:type="character" w:customStyle="1" w:styleId="markedcontent">
    <w:name w:val="markedcontent"/>
    <w:rsid w:val="00B2620F"/>
  </w:style>
  <w:style w:type="paragraph" w:styleId="ListParagraph">
    <w:name w:val="List Paragraph"/>
    <w:basedOn w:val="Normal"/>
    <w:uiPriority w:val="34"/>
    <w:qFormat/>
    <w:rsid w:val="00591E22"/>
    <w:pPr>
      <w:ind w:left="720"/>
      <w:contextualSpacing/>
    </w:pPr>
  </w:style>
  <w:style w:type="paragraph" w:styleId="BalloonText">
    <w:name w:val="Balloon Text"/>
    <w:basedOn w:val="Normal"/>
    <w:link w:val="BalloonTextChar"/>
    <w:uiPriority w:val="99"/>
    <w:semiHidden/>
    <w:unhideWhenUsed/>
    <w:rsid w:val="00706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EB2"/>
    <w:rPr>
      <w:rFonts w:ascii="Tahoma" w:hAnsi="Tahoma" w:cs="Tahoma"/>
      <w:sz w:val="16"/>
      <w:szCs w:val="16"/>
      <w:lang w:val="sr-Latn-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060"/>
    <w:pPr>
      <w:spacing w:after="200" w:line="276" w:lineRule="auto"/>
    </w:pPr>
    <w:rPr>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E61ED"/>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3E61ED"/>
    <w:rPr>
      <w:rFonts w:ascii="Calibri" w:eastAsia="Calibri" w:hAnsi="Calibri" w:cs="Times New Roman"/>
      <w:sz w:val="20"/>
      <w:szCs w:val="20"/>
    </w:rPr>
  </w:style>
  <w:style w:type="character" w:styleId="FootnoteReference">
    <w:name w:val="footnote reference"/>
    <w:uiPriority w:val="99"/>
    <w:semiHidden/>
    <w:unhideWhenUsed/>
    <w:rsid w:val="003E61ED"/>
    <w:rPr>
      <w:vertAlign w:val="superscript"/>
    </w:rPr>
  </w:style>
  <w:style w:type="paragraph" w:styleId="NoSpacing">
    <w:name w:val="No Spacing"/>
    <w:link w:val="NoSpacingChar"/>
    <w:qFormat/>
    <w:rsid w:val="00C44E07"/>
    <w:pPr>
      <w:spacing w:after="0" w:line="240" w:lineRule="auto"/>
    </w:pPr>
    <w:rPr>
      <w:rFonts w:ascii="Calibri" w:eastAsia="Calibri" w:hAnsi="Calibri" w:cs="Times New Roman"/>
      <w:sz w:val="20"/>
      <w:szCs w:val="20"/>
      <w:lang w:val="de-AT" w:eastAsia="de-AT"/>
    </w:rPr>
  </w:style>
  <w:style w:type="character" w:customStyle="1" w:styleId="NoSpacingChar">
    <w:name w:val="No Spacing Char"/>
    <w:link w:val="NoSpacing"/>
    <w:rsid w:val="00C44E07"/>
    <w:rPr>
      <w:rFonts w:ascii="Calibri" w:eastAsia="Calibri" w:hAnsi="Calibri" w:cs="Times New Roman"/>
      <w:sz w:val="20"/>
      <w:szCs w:val="20"/>
      <w:lang w:val="de-AT" w:eastAsia="de-AT"/>
    </w:rPr>
  </w:style>
  <w:style w:type="paragraph" w:styleId="Header">
    <w:name w:val="header"/>
    <w:basedOn w:val="Normal"/>
    <w:link w:val="HeaderChar"/>
    <w:uiPriority w:val="99"/>
    <w:unhideWhenUsed/>
    <w:rsid w:val="00F04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FCD"/>
    <w:rPr>
      <w:lang w:val="sr-Latn-BA"/>
    </w:rPr>
  </w:style>
  <w:style w:type="paragraph" w:styleId="Footer">
    <w:name w:val="footer"/>
    <w:basedOn w:val="Normal"/>
    <w:link w:val="FooterChar"/>
    <w:uiPriority w:val="99"/>
    <w:unhideWhenUsed/>
    <w:rsid w:val="00F04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FCD"/>
    <w:rPr>
      <w:lang w:val="sr-Latn-BA"/>
    </w:rPr>
  </w:style>
  <w:style w:type="character" w:customStyle="1" w:styleId="markedcontent">
    <w:name w:val="markedcontent"/>
    <w:rsid w:val="00B2620F"/>
  </w:style>
  <w:style w:type="paragraph" w:styleId="ListParagraph">
    <w:name w:val="List Paragraph"/>
    <w:basedOn w:val="Normal"/>
    <w:uiPriority w:val="34"/>
    <w:qFormat/>
    <w:rsid w:val="00591E22"/>
    <w:pPr>
      <w:ind w:left="720"/>
      <w:contextualSpacing/>
    </w:pPr>
  </w:style>
  <w:style w:type="paragraph" w:styleId="BalloonText">
    <w:name w:val="Balloon Text"/>
    <w:basedOn w:val="Normal"/>
    <w:link w:val="BalloonTextChar"/>
    <w:uiPriority w:val="99"/>
    <w:semiHidden/>
    <w:unhideWhenUsed/>
    <w:rsid w:val="00706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6EB2"/>
    <w:rPr>
      <w:rFonts w:ascii="Tahoma" w:hAnsi="Tahoma" w:cs="Tahoma"/>
      <w:sz w:val="16"/>
      <w:szCs w:val="16"/>
      <w:lang w:val="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8743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2023-10-17T08:33:00Z</cp:lastPrinted>
  <dcterms:created xsi:type="dcterms:W3CDTF">2023-10-17T08:59:00Z</dcterms:created>
  <dcterms:modified xsi:type="dcterms:W3CDTF">2023-10-17T08:59:00Z</dcterms:modified>
</cp:coreProperties>
</file>