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6376"/>
        <w:gridCol w:w="1656"/>
      </w:tblGrid>
      <w:tr w:rsidR="00140E80" w14:paraId="1FA24DE3" w14:textId="77777777" w:rsidTr="00140E80">
        <w:trPr>
          <w:trHeight w:val="367"/>
          <w:jc w:val="center"/>
        </w:trPr>
        <w:tc>
          <w:tcPr>
            <w:tcW w:w="1626" w:type="dxa"/>
            <w:vMerge w:val="restart"/>
            <w:vAlign w:val="center"/>
          </w:tcPr>
          <w:p w14:paraId="2E38FE3D" w14:textId="529D8C6B" w:rsidR="00140E80" w:rsidRPr="00A17D22" w:rsidRDefault="00140E80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0DFC466B" wp14:editId="02069C0F">
                  <wp:extent cx="895350" cy="895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6" w:type="dxa"/>
            <w:shd w:val="clear" w:color="auto" w:fill="FFFFFF"/>
            <w:vAlign w:val="center"/>
          </w:tcPr>
          <w:p w14:paraId="5B7E25CD" w14:textId="77777777" w:rsidR="00140E80" w:rsidRPr="004B02EB" w:rsidRDefault="00140E80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Универзитет у Нишу</w:t>
            </w:r>
          </w:p>
          <w:p w14:paraId="117D19CB" w14:textId="77777777" w:rsidR="00140E80" w:rsidRPr="004B02EB" w:rsidRDefault="00140E80" w:rsidP="003B47B1">
            <w:pPr>
              <w:pStyle w:val="Header"/>
              <w:jc w:val="center"/>
              <w:rPr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Филозофски факултет</w:t>
            </w:r>
          </w:p>
        </w:tc>
        <w:tc>
          <w:tcPr>
            <w:tcW w:w="1656" w:type="dxa"/>
            <w:vMerge w:val="restart"/>
            <w:vAlign w:val="center"/>
          </w:tcPr>
          <w:p w14:paraId="07533EF1" w14:textId="198C3297" w:rsidR="00140E80" w:rsidRDefault="00140E80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2226312B" wp14:editId="17EDD189">
                  <wp:extent cx="9144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E80" w14:paraId="289A8966" w14:textId="77777777" w:rsidTr="00140E80">
        <w:trPr>
          <w:trHeight w:val="467"/>
          <w:jc w:val="center"/>
        </w:trPr>
        <w:tc>
          <w:tcPr>
            <w:tcW w:w="1626" w:type="dxa"/>
            <w:vMerge/>
          </w:tcPr>
          <w:p w14:paraId="3092C8FE" w14:textId="77777777" w:rsidR="00140E80" w:rsidRPr="00A17D22" w:rsidRDefault="00140E80" w:rsidP="003B47B1">
            <w:pPr>
              <w:pStyle w:val="Header"/>
            </w:pPr>
          </w:p>
        </w:tc>
        <w:tc>
          <w:tcPr>
            <w:tcW w:w="6376" w:type="dxa"/>
            <w:shd w:val="clear" w:color="auto" w:fill="E6E6E6"/>
            <w:vAlign w:val="center"/>
          </w:tcPr>
          <w:p w14:paraId="0A3595B6" w14:textId="77777777" w:rsidR="00140E80" w:rsidRPr="00391375" w:rsidRDefault="00140E80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CS"/>
              </w:rPr>
              <w:t>Акредитација</w:t>
            </w:r>
            <w:r>
              <w:rPr>
                <w:b/>
                <w:color w:val="333399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color w:val="333399"/>
                <w:sz w:val="24"/>
                <w:szCs w:val="24"/>
                <w:lang w:val="sr-Cyrl-RS"/>
              </w:rPr>
              <w:t>студијског програма</w:t>
            </w:r>
          </w:p>
        </w:tc>
        <w:tc>
          <w:tcPr>
            <w:tcW w:w="1656" w:type="dxa"/>
            <w:vMerge/>
          </w:tcPr>
          <w:p w14:paraId="44BD2E00" w14:textId="77777777" w:rsidR="00140E80" w:rsidRPr="004B02EB" w:rsidRDefault="00140E80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  <w:tr w:rsidR="00140E80" w14:paraId="7EDC8917" w14:textId="77777777" w:rsidTr="00140E80">
        <w:trPr>
          <w:trHeight w:val="449"/>
          <w:jc w:val="center"/>
        </w:trPr>
        <w:tc>
          <w:tcPr>
            <w:tcW w:w="1626" w:type="dxa"/>
            <w:vMerge/>
          </w:tcPr>
          <w:p w14:paraId="4B95C7E6" w14:textId="77777777" w:rsidR="00140E80" w:rsidRPr="00A17D22" w:rsidRDefault="00140E80" w:rsidP="003B47B1">
            <w:pPr>
              <w:pStyle w:val="Header"/>
            </w:pPr>
          </w:p>
        </w:tc>
        <w:tc>
          <w:tcPr>
            <w:tcW w:w="6376" w:type="dxa"/>
            <w:shd w:val="clear" w:color="auto" w:fill="FFFFFF"/>
            <w:vAlign w:val="center"/>
          </w:tcPr>
          <w:p w14:paraId="4C22A516" w14:textId="77777777" w:rsidR="00140E80" w:rsidRDefault="00140E80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 xml:space="preserve">Основне академске студије социјалне политике </w:t>
            </w:r>
          </w:p>
          <w:p w14:paraId="6824115C" w14:textId="77777777" w:rsidR="00140E80" w:rsidRPr="00B86DE3" w:rsidRDefault="00140E80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>и социјалног рада</w:t>
            </w:r>
          </w:p>
        </w:tc>
        <w:tc>
          <w:tcPr>
            <w:tcW w:w="1656" w:type="dxa"/>
            <w:vMerge/>
          </w:tcPr>
          <w:p w14:paraId="4ABAE47E" w14:textId="77777777" w:rsidR="00140E80" w:rsidRPr="004B02EB" w:rsidRDefault="00140E80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</w:tbl>
    <w:p w14:paraId="3D1F47DD" w14:textId="77777777" w:rsidR="00140E80" w:rsidRDefault="00140E80" w:rsidP="00140E80">
      <w:pPr>
        <w:jc w:val="center"/>
        <w:rPr>
          <w:b/>
          <w:bCs/>
          <w:lang w:val="sr-Cyrl-CS"/>
        </w:rPr>
      </w:pPr>
    </w:p>
    <w:p w14:paraId="5CFB83DF" w14:textId="77777777" w:rsidR="00140E80" w:rsidRDefault="00140E80" w:rsidP="00140E80">
      <w:pPr>
        <w:jc w:val="center"/>
        <w:rPr>
          <w:b/>
          <w:bCs/>
          <w:lang w:val="sr-Cyrl-CS"/>
        </w:rPr>
      </w:pPr>
    </w:p>
    <w:p w14:paraId="573A8E2B" w14:textId="554EEFC3" w:rsidR="00140E80" w:rsidRDefault="00140E80" w:rsidP="00140E80">
      <w:pPr>
        <w:jc w:val="center"/>
        <w:rPr>
          <w:bCs/>
          <w:lang w:val="sr-Cyrl-CS"/>
        </w:rPr>
      </w:pPr>
      <w:r w:rsidRPr="00CA784F">
        <w:rPr>
          <w:b/>
          <w:bCs/>
          <w:lang w:val="sr-Cyrl-CS"/>
        </w:rPr>
        <w:t>Табела 5.2.</w:t>
      </w:r>
      <w:r>
        <w:rPr>
          <w:bCs/>
          <w:lang w:val="sr-Cyrl-CS"/>
        </w:rPr>
        <w:t xml:space="preserve"> </w:t>
      </w:r>
      <w:r w:rsidRPr="00CA784F">
        <w:rPr>
          <w:bCs/>
          <w:lang w:val="sr-Cyrl-CS"/>
        </w:rPr>
        <w:t>Спецификација предмета</w:t>
      </w: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D941A7" w14:paraId="081E1209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CED72" w14:textId="569DF2D2" w:rsidR="00D941A7" w:rsidRPr="00290B27" w:rsidRDefault="00290B27" w:rsidP="00290B27">
            <w:pPr>
              <w:rPr>
                <w:lang w:val="sr-Latn-RS"/>
              </w:rPr>
            </w:pPr>
            <w:r>
              <w:rPr>
                <w:b/>
                <w:bCs/>
              </w:rPr>
              <w:t>Студијски програм</w:t>
            </w:r>
            <w:r w:rsidR="00D941A7">
              <w:rPr>
                <w:b/>
                <w:bCs/>
              </w:rPr>
              <w:t xml:space="preserve">: </w:t>
            </w:r>
            <w:r>
              <w:t xml:space="preserve">Основне академске студије </w:t>
            </w:r>
            <w:r>
              <w:rPr>
                <w:lang w:val="sr-Cyrl-RS"/>
              </w:rPr>
              <w:t>социјалне политике и социјалног рада</w:t>
            </w:r>
          </w:p>
        </w:tc>
      </w:tr>
      <w:tr w:rsidR="00D941A7" w14:paraId="05E38FB6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9660" w14:textId="32D0AC18" w:rsidR="00D941A7" w:rsidRDefault="00D941A7" w:rsidP="00290B27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b/>
                <w:bCs/>
              </w:rPr>
              <w:t xml:space="preserve">Назив предмета: </w:t>
            </w:r>
            <w:r>
              <w:rPr>
                <w:b/>
              </w:rPr>
              <w:t>Ф</w:t>
            </w:r>
            <w:r w:rsidR="00290B27">
              <w:rPr>
                <w:b/>
                <w:lang w:val="sr-Cyrl-RS"/>
              </w:rPr>
              <w:t>ранцуски језик</w:t>
            </w:r>
            <w:r w:rsidRPr="006F2CCD">
              <w:rPr>
                <w:b/>
              </w:rPr>
              <w:t xml:space="preserve"> А2.</w:t>
            </w:r>
            <w:r w:rsidRPr="006F2CCD">
              <w:rPr>
                <w:b/>
                <w:lang w:val="sr-Latn-RS"/>
              </w:rPr>
              <w:t>2</w:t>
            </w:r>
          </w:p>
        </w:tc>
      </w:tr>
      <w:tr w:rsidR="00D941A7" w14:paraId="3622D451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DA64" w14:textId="44323293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D941A7" w14:paraId="0D1C794D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04C9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D941A7" w14:paraId="2353FB55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3034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D941A7" w14:paraId="3D6DA9C4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A772" w14:textId="06720EA0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 w:rsidR="00290B27">
              <w:rPr>
                <w:lang w:val="sr-Cyrl-RS"/>
              </w:rPr>
              <w:t>/</w:t>
            </w:r>
          </w:p>
        </w:tc>
      </w:tr>
      <w:tr w:rsidR="00D941A7" w14:paraId="041BE0D9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8684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Циљ предмета</w:t>
            </w:r>
          </w:p>
          <w:p w14:paraId="02334648" w14:textId="77777777" w:rsidR="00D941A7" w:rsidRDefault="00D941A7" w:rsidP="003B47B1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t xml:space="preserve">Обнављање и проширивање језичких знања и вештина </w:t>
            </w:r>
            <w:r>
              <w:rPr>
                <w:lang w:val="sr-Cyrl-RS"/>
              </w:rPr>
              <w:t>на</w:t>
            </w:r>
            <w:r>
              <w:t xml:space="preserve"> ниво</w:t>
            </w:r>
            <w:r>
              <w:rPr>
                <w:lang w:val="sr-Cyrl-RS"/>
              </w:rPr>
              <w:t>у</w:t>
            </w:r>
            <w:r>
              <w:t xml:space="preserve"> А2  и припрема за прелазак на ниво Б1 (уз интерактивну наставу и развијање аутономије у учењу).</w:t>
            </w:r>
          </w:p>
        </w:tc>
      </w:tr>
      <w:tr w:rsidR="00D941A7" w14:paraId="31DA64DA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8A26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Исход предмета </w:t>
            </w:r>
          </w:p>
          <w:p w14:paraId="1CF9AFCF" w14:textId="77777777" w:rsidR="00D941A7" w:rsidRDefault="00D941A7" w:rsidP="003B47B1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 xml:space="preserve">На нивоу  </w:t>
            </w:r>
            <w:r>
              <w:t>А2</w:t>
            </w:r>
            <w:r>
              <w:rPr>
                <w:lang w:val="sr-Cyrl-RS"/>
              </w:rPr>
              <w:t>.2</w:t>
            </w:r>
            <w:r>
              <w:t>/</w:t>
            </w:r>
            <w:r>
              <w:rPr>
                <w:bCs/>
              </w:rPr>
              <w:t>Б1</w:t>
            </w:r>
            <w:r>
              <w:rPr>
                <w:bCs/>
                <w:lang w:val="sr-Cyrl-RS"/>
              </w:rPr>
              <w:t>.1</w:t>
            </w:r>
            <w:r>
              <w:rPr>
                <w:bCs/>
              </w:rPr>
              <w:t xml:space="preserve"> студенти могу да  разумеју информације на блиске теме и о актуелним дешавањима исказане стандардним језиком у аутентичним писаним текстовима и аудио материјалу (интервјуи, анкете, телефонски разговори, преписка); разумеју различите врсте кратких текстова/одломака на познате теме (новински чланак, књижевни текст, преписка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</w:rPr>
              <w:t>плакат, проспект); усмено се изражавају на познате теме (породица, посао, хоби, лична интересовања); говоре о плановима, описују догађаје, изражавају реакције, утиске о прочитаној књизи или одгледаном филму; пишу краће текстове.</w:t>
            </w:r>
          </w:p>
        </w:tc>
      </w:tr>
      <w:tr w:rsidR="00D941A7" w14:paraId="36D4E0BB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D211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Садржај предмета</w:t>
            </w:r>
          </w:p>
          <w:p w14:paraId="3796ABF8" w14:textId="77777777" w:rsidR="00D941A7" w:rsidRDefault="00D941A7" w:rsidP="003B47B1">
            <w:pPr>
              <w:rPr>
                <w:iCs/>
              </w:rPr>
            </w:pPr>
            <w:r>
              <w:rPr>
                <w:iCs/>
              </w:rPr>
              <w:t>Исказати одушевљење или равнодушност; Поредити особе, предмете, радње; Препричати део из књиге или филма; Описивати прошле догађаје,  реакције; Говорити о својим интересовањима (спорт, музика, филм,...); Пренети нечије речи; Окарактерисати особе, предмете;</w:t>
            </w:r>
          </w:p>
          <w:p w14:paraId="2A50221C" w14:textId="77777777" w:rsidR="00D941A7" w:rsidRDefault="00D941A7" w:rsidP="003B47B1">
            <w:pPr>
              <w:rPr>
                <w:iCs/>
              </w:rPr>
            </w:pPr>
            <w:r>
              <w:rPr>
                <w:iCs/>
              </w:rPr>
              <w:t xml:space="preserve">Просте релативне заменице; Показне заменице;  Компаратив; Суперлатив; Неодређене заменице; Присвојне заменице; Прилози; Прошла времена; Пасив. </w:t>
            </w:r>
          </w:p>
          <w:p w14:paraId="5F395DEB" w14:textId="77777777" w:rsidR="00D941A7" w:rsidRDefault="00D941A7" w:rsidP="003B47B1">
            <w:pPr>
              <w:jc w:val="both"/>
              <w:rPr>
                <w:i/>
                <w:iCs/>
              </w:rPr>
            </w:pPr>
            <w:r>
              <w:rPr>
                <w:iCs/>
              </w:rPr>
              <w:t>Колоквијуми (писмени и усмени)</w:t>
            </w:r>
            <w:r>
              <w:rPr>
                <w:iCs/>
                <w:lang w:val="sr-Cyrl-RS"/>
              </w:rPr>
              <w:t>.</w:t>
            </w:r>
          </w:p>
        </w:tc>
      </w:tr>
      <w:tr w:rsidR="00D941A7" w14:paraId="4C108225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E300A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Литература </w:t>
            </w:r>
          </w:p>
          <w:p w14:paraId="5E45BBC2" w14:textId="77777777" w:rsidR="00D941A7" w:rsidRDefault="00D941A7" w:rsidP="003B47B1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>Kizirian, V. 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2,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3440F04C" w14:textId="77777777" w:rsidR="00D941A7" w:rsidRDefault="00290B27" w:rsidP="003B47B1">
            <w:pPr>
              <w:widowControl/>
              <w:shd w:val="clear" w:color="auto" w:fill="FFFFFF"/>
            </w:pPr>
            <w:hyperlink r:id="rId7">
              <w:r w:rsidR="00D941A7">
                <w:rPr>
                  <w:u w:val="single"/>
                  <w:lang w:val="fr-FR" w:eastAsia="en-GB"/>
                </w:rPr>
                <w:t>Akyüz</w:t>
              </w:r>
            </w:hyperlink>
            <w:r w:rsidR="00D941A7">
              <w:rPr>
                <w:lang w:val="fr-FR" w:eastAsia="en-GB"/>
              </w:rPr>
              <w:t xml:space="preserve">, A. et al., </w:t>
            </w:r>
            <w:r w:rsidR="00D941A7">
              <w:rPr>
                <w:i/>
                <w:lang w:val="fr-FR" w:eastAsia="en-GB"/>
              </w:rPr>
              <w:t>Les 500 exercices de grammaire A2</w:t>
            </w:r>
            <w:r w:rsidR="00D941A7">
              <w:rPr>
                <w:lang w:val="fr-FR" w:eastAsia="en-GB"/>
              </w:rPr>
              <w:t>, Hachette, Paris, 2006 ;</w:t>
            </w:r>
          </w:p>
          <w:p w14:paraId="3A4F5FE3" w14:textId="77777777" w:rsidR="00D941A7" w:rsidRDefault="00D941A7" w:rsidP="003B47B1">
            <w:pPr>
              <w:jc w:val="both"/>
              <w:rPr>
                <w:bCs/>
              </w:rPr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121E5DDC" w14:textId="77777777" w:rsidR="00D941A7" w:rsidRDefault="00D941A7" w:rsidP="003B47B1">
            <w:pPr>
              <w:jc w:val="both"/>
              <w:rPr>
                <w:bCs/>
              </w:rPr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320384F5" w14:textId="77777777" w:rsidR="00D941A7" w:rsidRDefault="00D941A7" w:rsidP="003B47B1">
            <w:pPr>
              <w:ind w:left="17"/>
              <w:jc w:val="both"/>
              <w:rPr>
                <w:bCs/>
                <w:i/>
                <w:iCs/>
              </w:rPr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D941A7" w14:paraId="5EA42857" w14:textId="77777777" w:rsidTr="00290B2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6E68" w14:textId="01108BC1" w:rsidR="00D941A7" w:rsidRDefault="00D941A7" w:rsidP="00290B27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4C84" w14:textId="77777777" w:rsidR="00D941A7" w:rsidRDefault="00D941A7" w:rsidP="00290B2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561C2" w14:textId="77777777" w:rsidR="00D941A7" w:rsidRDefault="00D941A7" w:rsidP="00290B27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D941A7" w14:paraId="1E8C3F8C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6BDC5" w14:textId="77777777" w:rsidR="00290B27" w:rsidRDefault="00D941A7" w:rsidP="00290B27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>
              <w:rPr>
                <w:b/>
                <w:bCs/>
              </w:rPr>
              <w:t>Методе извођења наставе</w:t>
            </w:r>
          </w:p>
          <w:p w14:paraId="261569E5" w14:textId="381B35F6" w:rsidR="00D941A7" w:rsidRDefault="00D941A7" w:rsidP="00290B27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D941A7" w14:paraId="028A4B37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EB109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D941A7" w14:paraId="57468C2E" w14:textId="77777777" w:rsidTr="00290B2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1F27" w14:textId="77777777" w:rsidR="00D941A7" w:rsidRDefault="00D941A7" w:rsidP="00290B27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83FF" w14:textId="19482DC5" w:rsidR="00D941A7" w:rsidRDefault="00D941A7" w:rsidP="00290B27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t>поена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F58" w14:textId="77777777" w:rsidR="00D941A7" w:rsidRDefault="00D941A7" w:rsidP="00290B27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D976A" w14:textId="77777777" w:rsidR="00D941A7" w:rsidRDefault="00D941A7" w:rsidP="00290B27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D941A7" w14:paraId="54D75D36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CB646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750B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0A21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5374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D941A7" w14:paraId="504ACB94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FB2D0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BB95F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22E4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E5333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D941A7" w14:paraId="0A2636D6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D6F0" w14:textId="77777777" w:rsidR="00D941A7" w:rsidRDefault="00D941A7" w:rsidP="003B47B1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29DC9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17BC" w14:textId="77777777" w:rsidR="00D941A7" w:rsidRDefault="00D941A7" w:rsidP="003B47B1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80D5" w14:textId="77777777" w:rsidR="00D941A7" w:rsidRDefault="00D941A7" w:rsidP="003B47B1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5050DC2A" w14:textId="491B064F" w:rsidR="00D941A7" w:rsidRDefault="00D941A7" w:rsidP="00D941A7">
      <w:pPr>
        <w:rPr>
          <w:bCs/>
        </w:rPr>
      </w:pPr>
    </w:p>
    <w:sectPr w:rsidR="00D941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80"/>
    <w:rsid w:val="00140E80"/>
    <w:rsid w:val="00290B27"/>
    <w:rsid w:val="00D941A7"/>
    <w:rsid w:val="00DF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4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0E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40E80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27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0E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40E80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B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27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achettefle.com/auteur/anne-akyu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LMR</cp:lastModifiedBy>
  <cp:revision>3</cp:revision>
  <dcterms:created xsi:type="dcterms:W3CDTF">2022-03-25T21:35:00Z</dcterms:created>
  <dcterms:modified xsi:type="dcterms:W3CDTF">2022-04-13T21:39:00Z</dcterms:modified>
</cp:coreProperties>
</file>