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849"/>
        <w:tblGridChange w:id="0">
          <w:tblGrid>
            <w:gridCol w:w="9849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3. Циљеви студијског програма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Студијски програм има јасно дефинисане циљеве.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(највише 500 речи)</w:t>
            </w:r>
          </w:p>
          <w:p w:rsidR="00000000" w:rsidDel="00000000" w:rsidP="00000000" w:rsidRDefault="00000000" w:rsidRPr="00000000" w14:paraId="00000005">
            <w:pPr>
              <w:widowControl w:val="1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firstLine="72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Мастер академске студије француског језика и књижевности имају за циљ да студентима пруже могућност да стекну адекватна уже-стручна знања и вештине неопходне како за квалитетнији и успешнији рад у струци, тако и за даље академско образовање и научноистраживачки рад. Циљ студијског програма јесте:</w:t>
            </w:r>
          </w:p>
          <w:p w:rsidR="00000000" w:rsidDel="00000000" w:rsidP="00000000" w:rsidRDefault="00000000" w:rsidRPr="00000000" w14:paraId="00000007">
            <w:pPr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ind w:left="426" w:hanging="426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1) увећање и продубљивање теоријско-методолошких, научних и стручних знања студента из области лингвистике, књижевности и културе или методике наставе (глотодидактике); </w:t>
            </w:r>
          </w:p>
          <w:p w:rsidR="00000000" w:rsidDel="00000000" w:rsidP="00000000" w:rsidRDefault="00000000" w:rsidRPr="00000000" w14:paraId="00000009">
            <w:pPr>
              <w:ind w:left="426" w:hanging="426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2) даље развијање свести студента о сложености процеса учења и подучавања страног језика, и оспособљавање студента за самостално обављање послова у области образовања;</w:t>
            </w:r>
          </w:p>
          <w:p w:rsidR="00000000" w:rsidDel="00000000" w:rsidP="00000000" w:rsidRDefault="00000000" w:rsidRPr="00000000" w14:paraId="0000000A">
            <w:pPr>
              <w:ind w:left="426" w:hanging="426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3) оспособљавање студента за самостални истраживачки рад на вишем нивоу кроз рад на развоју вештина критичког мишљења, аналитичности, синтетичког закључивања, и активног односа према себи и другима у процесу образовања, како у академском тако и професионалном окружењу, као и кроз развој индивидуалних способности и вештина које могу допринети квалитетнијем професионалном раду и усавршавању у академском и научно-истраживачком окружењу;</w:t>
            </w:r>
          </w:p>
          <w:p w:rsidR="00000000" w:rsidDel="00000000" w:rsidP="00000000" w:rsidRDefault="00000000" w:rsidRPr="00000000" w14:paraId="0000000B">
            <w:pPr>
              <w:ind w:left="426" w:hanging="426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4) студентово овладавање техничким аспектима израде и писања научног рада, као и оспособљавање студента да критички вреднује научну и стручну литературу из барем једне од области покривених студијских програмом, и то оне области за коју се студент усавршава – професионално, каријерно и научноистраживачки опредељујући се за одређене изборне предмете из области лингвистике, превођења, књижевности и културе или методике наставе (глотодидактике);</w:t>
            </w:r>
          </w:p>
          <w:p w:rsidR="00000000" w:rsidDel="00000000" w:rsidP="00000000" w:rsidRDefault="00000000" w:rsidRPr="00000000" w14:paraId="0000000C">
            <w:pPr>
              <w:ind w:left="426" w:hanging="426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5) усмеравање студента ка развоју способности самоевалуације и ауторефлексије, као и даљи развој свести студента о неопходности доживотног интелектуалног и професионалног усавршавања.</w:t>
            </w:r>
          </w:p>
          <w:p w:rsidR="00000000" w:rsidDel="00000000" w:rsidP="00000000" w:rsidRDefault="00000000" w:rsidRPr="00000000" w14:paraId="0000000D">
            <w:pPr>
              <w:ind w:firstLine="72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Остваривање овако дефинисаних циљева студијског програма обезбеђује се кроз адекватне садржаје и различите форме рада и оцењивања на предметима студијског програма (Стандард 5). На овом нивоу студија, индивидуална иницијатива и самостални, аутономни рад студената вредновани су на свим предметима студијског програма, и евалуирају се кроз пројектне задатке, предиспитне обавезе у форми теоријских и практичних истраживања мањег обима, практичан рад на савладавању методологије научног истраживања у хуманистичким наукама, као и кроз завршне пројекте или писане радове и усмене презентације студената које на многим предметима укључују и дискусију и евалуацију од стране других студената. Ове методе и технике заступљене у раду са студентима на појединачним предметима омогућују реализовање дефинисаних исхода предмета, али и циљева студијског програма у целини.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E">
            <w:pPr>
              <w:pBdr>
                <w:bottom w:color="000000" w:space="1" w:sz="6" w:val="single"/>
              </w:pBd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Прилози за стандард 3: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Прилог 1.1.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Публикација установе (у штампаном или електронском облику, сајт институције). </w:t>
            </w:r>
          </w:p>
          <w:p w:rsidR="00000000" w:rsidDel="00000000" w:rsidP="00000000" w:rsidRDefault="00000000" w:rsidRPr="00000000" w14:paraId="00000010">
            <w:pPr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Веб-сајт: </w:t>
            </w:r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www.filfak.ni.ac.rs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Веб-сајт на енглеском језику: 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https://intl.filfak.ni.ac.rs/en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Блог: </w:t>
            </w:r>
            <w:hyperlink r:id="rId9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https://blog.filfak.ni.ac.rs/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Портал за упис: </w:t>
            </w:r>
            <w:hyperlink r:id="rId10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https://upis.filfak.ni.ac.rs/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sz w:val="21"/>
                <w:szCs w:val="21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Портал за студенте: </w:t>
            </w:r>
            <w:hyperlink r:id="rId11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http://studenti.filfak.ni.ac.rs/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1"/>
                <w:szCs w:val="21"/>
                <w:vertAlign w:val="baseline"/>
                <w:rtl w:val="0"/>
              </w:rPr>
              <w:t xml:space="preserve">Издања Факултета: </w:t>
            </w:r>
            <w:hyperlink r:id="rId12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vertAlign w:val="baseline"/>
                  <w:rtl w:val="0"/>
                </w:rPr>
                <w:t xml:space="preserve">https://izdanja.filfak.ni.ac.rs/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0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tudenti.filfak.ni.ac.rs/" TargetMode="External"/><Relationship Id="rId10" Type="http://schemas.openxmlformats.org/officeDocument/2006/relationships/hyperlink" Target="https://upis.filfak.ni.ac.rs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izdanja.filfak.ni.ac.r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ilfak.ni.ac.rs" TargetMode="External"/><Relationship Id="rId8" Type="http://schemas.openxmlformats.org/officeDocument/2006/relationships/hyperlink" Target="https://intl.filfak.ni.ac.rs/en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6Ng1S5yf+eFHL5RkQa0j7ukgnA==">AMUW2mV3mt8c7oj6XMsOUFjO455hCCOUENKvfFv8zkmH4+WxtKuWS2g+T8Sa3UHIJqDGX07cLgnPVB4zLX/X6+Ztj+3Ds2xJQB3HSQtHIiAeczqqzwicnzQ=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2022-02-20T20:56:00Z</dcterms:created>
  <dc:creator>Dusan Stamenkovic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