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Табела 9.1.</w:t>
      </w:r>
      <w:r w:rsidDel="00000000" w:rsidR="00000000" w:rsidRPr="00000000">
        <w:rPr>
          <w:sz w:val="18"/>
          <w:szCs w:val="18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116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5"/>
        <w:gridCol w:w="1082"/>
        <w:gridCol w:w="529"/>
        <w:gridCol w:w="326"/>
        <w:gridCol w:w="855"/>
        <w:gridCol w:w="923"/>
        <w:gridCol w:w="1193"/>
        <w:gridCol w:w="433"/>
        <w:gridCol w:w="67"/>
        <w:gridCol w:w="1128"/>
        <w:gridCol w:w="982"/>
        <w:gridCol w:w="1785"/>
        <w:gridCol w:w="1342"/>
        <w:tblGridChange w:id="0">
          <w:tblGrid>
            <w:gridCol w:w="515"/>
            <w:gridCol w:w="1082"/>
            <w:gridCol w:w="529"/>
            <w:gridCol w:w="326"/>
            <w:gridCol w:w="855"/>
            <w:gridCol w:w="923"/>
            <w:gridCol w:w="1193"/>
            <w:gridCol w:w="433"/>
            <w:gridCol w:w="67"/>
            <w:gridCol w:w="1128"/>
            <w:gridCol w:w="982"/>
            <w:gridCol w:w="1785"/>
            <w:gridCol w:w="1342"/>
          </w:tblGrid>
        </w:tblGridChange>
      </w:tblGrid>
      <w:tr>
        <w:trPr>
          <w:cantSplit w:val="0"/>
          <w:trHeight w:val="226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Никола Бјелић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 Универзитета у Нишу</w:t>
            </w:r>
          </w:p>
          <w:p w:rsidR="00000000" w:rsidDel="00000000" w:rsidP="00000000" w:rsidRDefault="00000000" w:rsidRPr="00000000" w14:paraId="0000002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6.11.2017.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Француска књижевност и култура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факултет, Ниш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Француска књижевност и култура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Филолошки факултет, Београд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Књижевне науке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Филолошки факултет, Београд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Наука о књижевности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Филолошки факултет, Београд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97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Врста студија (ОАС, МАС)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Француска књижевност романтизма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Француска књижевност реализма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Савремена француска књижевност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Егзистенцијалистичко позориште: Сартр и Ками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FA0058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Преглед поетика и књижевних теорија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MFR006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Аутобиографија и аутофикција у француској књижевности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MFR001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Методологија научно-стручног рада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pos="567"/>
              </w:tabs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БЈЕЛИЋ, Никола, „Дон Жуан у потрази за идентитетом у комаду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Ноћ у Валоњи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 Ерик-Емануела Шмита“, у: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Етноантрополошки проблеми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, Год. 16, бр. 3, 917–933. Универзитет у Београду, Филозофски факултет, Београд,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. УДК 821.1331.1.09-2 Шмит Е. DOI: 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18"/>
                  <w:szCs w:val="18"/>
                  <w:highlight w:val="white"/>
                  <w:u w:val="none"/>
                  <w:vertAlign w:val="baseline"/>
                  <w:rtl w:val="0"/>
                </w:rPr>
                <w:t xml:space="preserve">https://doi.org/10.21301/eap.v16i3.12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, ISSN 0353-1589 = Etnoantropološki problemi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BJELIĆ, Nikola, « La rencontre avec Dieu : lecture des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Pensées 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de Pascal dans l’œuvre d’Éric-Emmanuel Schmitt », in: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Црквене студије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N</w:t>
            </w:r>
            <w:r w:rsidDel="00000000" w:rsidR="00000000" w:rsidRPr="00000000">
              <w:rPr>
                <w:sz w:val="18"/>
                <w:szCs w:val="18"/>
                <w:highlight w:val="white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. 18, Центар за црквене студије, Универзитет у Нишу, Ниш,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2021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473–484. УДК 821.133.1-84, 14:929 Паскал Б.,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ISSN 1820-2446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M23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]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БЈЕЛИЋ, Никола. „Интертекстуалне везе између комада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Ноћ у Валоњи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 Ерик-Емануела Шмита и Молијеровог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Дон Жуана“,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 у: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Philologia Mediana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год. XIII, бр. 13, 77–91. Универзитет у Нишу, Филозофски факултет, Ниш,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2021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. УДК 821.133.1.09-2. DOI: </w:t>
            </w:r>
            <w:hyperlink r:id="rId8">
              <w:r w:rsidDel="00000000" w:rsidR="00000000" w:rsidRPr="00000000">
                <w:rPr>
                  <w:color w:val="000000"/>
                  <w:sz w:val="18"/>
                  <w:szCs w:val="18"/>
                  <w:highlight w:val="white"/>
                  <w:u w:val="none"/>
                  <w:rtl w:val="0"/>
                </w:rPr>
                <w:t xml:space="preserve">https://doi.org/10.46630/phm.13.2021.05</w:t>
              </w:r>
            </w:hyperlink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ISSN (Online): 2620-2794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M51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]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BJELIĆ, Nikola. « Les écrivains français dans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Istanbul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 d’Orhan Pamuk », у: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Philologia Mediana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Год. XII, бр. 12, 63–75. Универзитет у Нишу, Филозофски факултет, Institut français de Serbie, Agence universitaire de la Francophonie, Ниш,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2020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. УДК 821.512.161.09-94 Pamuk O. DOI: </w:t>
            </w:r>
            <w:hyperlink r:id="rId9">
              <w:r w:rsidDel="00000000" w:rsidR="00000000" w:rsidRPr="00000000">
                <w:rPr>
                  <w:color w:val="000000"/>
                  <w:sz w:val="18"/>
                  <w:szCs w:val="18"/>
                  <w:highlight w:val="white"/>
                  <w:u w:val="none"/>
                  <w:rtl w:val="0"/>
                </w:rPr>
                <w:t xml:space="preserve">https://doi.org/10.46630/phm.12.2020.03</w:t>
              </w:r>
            </w:hyperlink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ISSN (Printed): 1821-3332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M51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]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БЈЕЛИЋ, Никола, „Беба у савременој француској књижевности“, У: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Бебе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Зборник радова са научне конференције 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Српски језик, књижевност, уметност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, књига 2, 173–182. ФИЛУМ, Крагујевац,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2019</w:t>
            </w: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. УДК 821.133.1-31.09 Darrieussecq M., ISBN 978-86-80796-42-0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M14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]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jc w:val="both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БЈЕЛИЋ, Никола,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„Расправа о слободи и моралу у комаду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Либертен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Ерик-Емануела Шмита“, у: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Зборник Матице српске за књижевност и језик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књ. 64, св. 1, Матица српска, Нови Сад,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2016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175–190. UDC 821.133.1-2.09 Schmitt E., UDC 17, ISSN  0543-1220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u w:val="no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M24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Међународни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Романистика и словенски језици, књижевности и културе у контакту и дисконтакту, Бр. 1001-13-01, по Одлуци Наставно-научног већа Филозофског факултета у Нишу, од 01. 03. 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98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2019: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од 11. до 15. марта: пројекaт мобилности наставника (Staff Mobility for Teaching Mobility Agreement) Ерасмус плус, на Универзитету Артоа у Арасу у Француској (Université d’Artois, Arras, France).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40" w:w="11907" w:orient="portrait"/>
      <w:pgMar w:bottom="450" w:top="1843" w:left="426" w:right="567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10862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7560"/>
      <w:gridCol w:w="1668"/>
      <w:tblGridChange w:id="0">
        <w:tblGrid>
          <w:gridCol w:w="1634"/>
          <w:gridCol w:w="7560"/>
          <w:gridCol w:w="1668"/>
        </w:tblGrid>
      </w:tblGridChange>
    </w:tblGrid>
    <w:tr>
      <w:trPr>
        <w:cantSplit w:val="0"/>
        <w:trHeight w:val="367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1A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99795" cy="899795"/>
                <wp:effectExtent b="0" l="0" r="0" t="0"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A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</w:p>
        <w:p w:rsidR="00000000" w:rsidDel="00000000" w:rsidP="00000000" w:rsidRDefault="00000000" w:rsidRPr="00000000" w14:paraId="000001A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1A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922020" cy="922020"/>
                <wp:effectExtent b="0" l="0" r="0" t="0"/>
                <wp:docPr id="1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02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6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A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1A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A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A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B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 француског језика и књижевности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B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B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6"/>
        <w:szCs w:val="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B79"/>
    <w:pPr>
      <w:widowControl w:val="0"/>
      <w:autoSpaceDE w:val="0"/>
      <w:autoSpaceDN w:val="0"/>
      <w:adjustRightInd w:val="0"/>
    </w:pPr>
    <w:rPr>
      <w:lang w:eastAsia="sr-Latn-CS" w:val="sr-Latn-CS"/>
    </w:rPr>
  </w:style>
  <w:style w:type="paragraph" w:styleId="Heading1">
    <w:name w:val="heading 1"/>
    <w:basedOn w:val="Normal"/>
    <w:next w:val="Normal"/>
    <w:qFormat w:val="1"/>
    <w:rsid w:val="001E1E7F"/>
    <w:pPr>
      <w:keepNext w:val="1"/>
      <w:outlineLvl w:val="0"/>
    </w:pPr>
    <w:rPr>
      <w:b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semiHidden w:val="1"/>
    <w:rsid w:val="000B6B79"/>
    <w:rPr>
      <w:rFonts w:ascii="Tahoma" w:cs="Tahoma" w:hAnsi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 w:val="1"/>
      <w:autoSpaceDE w:val="1"/>
      <w:autoSpaceDN w:val="1"/>
      <w:adjustRightInd w:val="1"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 w:customStyle="1">
    <w:name w:val="Mention"/>
    <w:uiPriority w:val="99"/>
    <w:semiHidden w:val="1"/>
    <w:unhideWhenUsed w:val="1"/>
    <w:rsid w:val="002E68DF"/>
    <w:rPr>
      <w:color w:val="2b579a"/>
      <w:shd w:color="auto" w:fill="e6e6e6" w:val="clear"/>
    </w:rPr>
  </w:style>
  <w:style w:type="character" w:styleId="UnresolvedMention" w:customStyle="1">
    <w:name w:val="Unresolved Mention"/>
    <w:uiPriority w:val="99"/>
    <w:semiHidden w:val="1"/>
    <w:unhideWhenUsed w:val="1"/>
    <w:rsid w:val="00416D10"/>
    <w:rPr>
      <w:color w:val="808080"/>
      <w:shd w:color="auto" w:fill="e6e6e6" w:val="clear"/>
    </w:rPr>
  </w:style>
  <w:style w:type="character" w:styleId="Emphasis">
    <w:name w:val="Emphasis"/>
    <w:uiPriority w:val="20"/>
    <w:qFormat w:val="1"/>
    <w:rsid w:val="005774EF"/>
    <w:rPr>
      <w:i w:val="1"/>
      <w:iCs w:val="1"/>
    </w:rPr>
  </w:style>
  <w:style w:type="paragraph" w:styleId="NormalWeb">
    <w:name w:val="Normal (Web)"/>
    <w:basedOn w:val="Normal"/>
    <w:uiPriority w:val="99"/>
    <w:unhideWhenUsed w:val="1"/>
    <w:rsid w:val="005774EF"/>
    <w:pPr>
      <w:widowControl w:val="1"/>
      <w:autoSpaceDE w:val="1"/>
      <w:autoSpaceDN w:val="1"/>
      <w:adjustRightInd w:val="1"/>
      <w:spacing w:after="100" w:afterAutospacing="1" w:before="100" w:beforeAutospacing="1"/>
    </w:pPr>
    <w:rPr>
      <w:sz w:val="24"/>
      <w:szCs w:val="24"/>
      <w:lang w:eastAsia="en-US" w:val="en-US"/>
    </w:rPr>
  </w:style>
  <w:style w:type="character" w:styleId="Strong">
    <w:name w:val="Strong"/>
    <w:uiPriority w:val="22"/>
    <w:qFormat w:val="1"/>
    <w:rsid w:val="005774EF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doi.org/10.46630/phm.12.2020.0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21301/eap.v16i3.12" TargetMode="External"/><Relationship Id="rId8" Type="http://schemas.openxmlformats.org/officeDocument/2006/relationships/hyperlink" Target="https://doi.org/10.46630/phm.13.2021.05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vSJGBCz0T4YKTCNr1Xl39U+soQ==">AMUW2mX4kMbSiUxhNi8xw1rJSpY9SQN8kx7AJSyGmlOCKaVTXxmSGXb7vB0d7la2wOmgmzOf+JASfqBrdAasRS/IpapmdHYizmsqQ191fqh7pFs6DIuOC0e4FggqRRnBZHwHbwr5mCpK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2021-10-28T09:17:00Z</dcterms:created>
  <dc:creator>Saša Trenčić</dc:creator>
</cp:coreProperties>
</file>