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Табела 5.2.</w:t>
      </w:r>
      <w:r w:rsidDel="00000000" w:rsidR="00000000" w:rsidRPr="00000000">
        <w:rPr>
          <w:vertAlign w:val="baseline"/>
          <w:rtl w:val="0"/>
        </w:rPr>
        <w:t xml:space="preserve"> Спецификација предмета</w:t>
      </w:r>
      <w:r w:rsidDel="00000000" w:rsidR="00000000" w:rsidRPr="00000000">
        <w:rPr>
          <w:rtl w:val="0"/>
        </w:rPr>
      </w:r>
    </w:p>
    <w:tbl>
      <w:tblPr>
        <w:tblStyle w:val="Table1"/>
        <w:tblW w:w="10283.000000000002" w:type="dxa"/>
        <w:jc w:val="left"/>
        <w:tblInd w:w="108.0" w:type="pct"/>
        <w:tblLayout w:type="fixed"/>
        <w:tblLook w:val="0000"/>
      </w:tblPr>
      <w:tblGrid>
        <w:gridCol w:w="3146"/>
        <w:gridCol w:w="1960"/>
        <w:gridCol w:w="1175"/>
        <w:gridCol w:w="2048"/>
        <w:gridCol w:w="1954"/>
        <w:tblGridChange w:id="0">
          <w:tblGrid>
            <w:gridCol w:w="3146"/>
            <w:gridCol w:w="1960"/>
            <w:gridCol w:w="1175"/>
            <w:gridCol w:w="2048"/>
            <w:gridCol w:w="195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pos="567"/>
              </w:tabs>
              <w:spacing w:after="40" w:before="4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Студијски програм : </w:t>
            </w:r>
            <w:r w:rsidDel="00000000" w:rsidR="00000000" w:rsidRPr="00000000">
              <w:rPr>
                <w:vertAlign w:val="baseline"/>
                <w:rtl w:val="0"/>
              </w:rPr>
              <w:t xml:space="preserve">Мастер академске студије Француски језик и књижевност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pos="567"/>
              </w:tabs>
              <w:spacing w:after="40" w:before="4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предмета: </w:t>
            </w:r>
            <w:r w:rsidDel="00000000" w:rsidR="00000000" w:rsidRPr="00000000">
              <w:rPr>
                <w:vertAlign w:val="baseline"/>
                <w:rtl w:val="0"/>
              </w:rPr>
              <w:t xml:space="preserve">Превођење у настави француског као страног језика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pos="567"/>
              </w:tabs>
              <w:spacing w:after="40" w:before="4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Наставник / </w:t>
            </w:r>
            <w:r w:rsidDel="00000000" w:rsidR="00000000" w:rsidRPr="00000000">
              <w:rPr>
                <w:b w:val="1"/>
                <w:rtl w:val="0"/>
              </w:rPr>
              <w:t xml:space="preserve">С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арадник: </w:t>
            </w:r>
            <w:r w:rsidDel="00000000" w:rsidR="00000000" w:rsidRPr="00000000">
              <w:rPr>
                <w:rtl w:val="0"/>
              </w:rPr>
              <w:t xml:space="preserve">П</w:t>
            </w:r>
            <w:r w:rsidDel="00000000" w:rsidR="00000000" w:rsidRPr="00000000">
              <w:rPr>
                <w:vertAlign w:val="baseline"/>
                <w:rtl w:val="0"/>
              </w:rPr>
              <w:t xml:space="preserve">роф. др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vertAlign w:val="baseline"/>
                <w:rtl w:val="0"/>
              </w:rPr>
              <w:t xml:space="preserve">Селена Станковић</w:t>
            </w:r>
            <w:r w:rsidDel="00000000" w:rsidR="00000000" w:rsidRPr="00000000">
              <w:rPr>
                <w:rtl w:val="0"/>
              </w:rPr>
              <w:t xml:space="preserve"> / Мср </w:t>
            </w:r>
            <w:r w:rsidDel="00000000" w:rsidR="00000000" w:rsidRPr="00000000">
              <w:rPr>
                <w:vertAlign w:val="baseline"/>
                <w:rtl w:val="0"/>
              </w:rPr>
              <w:t xml:space="preserve">Наташа Живић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pos="567"/>
              </w:tabs>
              <w:spacing w:after="40" w:before="4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Статус предмета: </w:t>
            </w:r>
            <w:r w:rsidDel="00000000" w:rsidR="00000000" w:rsidRPr="00000000">
              <w:rPr>
                <w:vertAlign w:val="baseline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pos="567"/>
              </w:tabs>
              <w:spacing w:after="40" w:before="4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ЕСПБ: </w:t>
            </w:r>
            <w:r w:rsidDel="00000000" w:rsidR="00000000" w:rsidRPr="00000000">
              <w:rPr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pos="567"/>
              </w:tabs>
              <w:spacing w:after="40" w:before="4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Услов: 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Циљ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pos="567"/>
              </w:tabs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Стицање знања из области превођења као могућности за развој језичких вештина у настави француског језика као страног. Оспособљавање за критичко промишљање о лингвокултуролошким различитостима француског и српског језика које отежавају усмену и писану комуникацију. Развијање компетенције за примену превођења у настави француског језика. 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Исход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pos="567"/>
              </w:tabs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Оспособљеност за критичко анализирање изворних текстова на француском језику и језичких феномена у њима </w:t>
            </w:r>
            <w:r w:rsidDel="00000000" w:rsidR="00000000" w:rsidRPr="00000000">
              <w:rPr>
                <w:vertAlign w:val="baseline"/>
                <w:rtl w:val="0"/>
              </w:rPr>
              <w:t xml:space="preserve">у циљу њиховог превођења на српски језик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. Стечена знања о савременим приступима превођењу у настави француског језика као страног. Развијена компетенција за обраду традуктолошких тема.</w:t>
            </w:r>
            <w:r w:rsidDel="00000000" w:rsidR="00000000" w:rsidRPr="00000000">
              <w:rPr>
                <w:color w:val="ff000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tabs>
                <w:tab w:val="left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 Место превођења у настави француског језика некад и сад. 2. Теоријски приступи у превођењу. 3. 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Превођење к</w:t>
            </w:r>
            <w:r w:rsidDel="00000000" w:rsidR="00000000" w:rsidRPr="00000000">
              <w:rPr>
                <w:vertAlign w:val="baseline"/>
                <w:rtl w:val="0"/>
              </w:rPr>
              <w:t xml:space="preserve">ултуролошких елеманата у настави француског језика. 4. Превођење као медијација у настави француског језика. 5. Превођење прозе, поезије и драме у функцији наставе француског језика (I). 6. Превођење прозе, поезије и драме у функцији наставе француског језика (II). 7. Превођење филмских секвенци у настави француског језика. 8. Превођење текстова песама у настави француског језика. 9. Превођење жаргона и сленга. 10. Превођење стрипа. 11. Превођење идиома и фразеологизама. 12. Превођење различитих типова информативних текстова и кратких порука (комуникација на друштвеним мрежама, имејлови, рекламе, обавештења). 13. „Лажни пријатељи</w:t>
            </w:r>
            <w:r w:rsidDel="00000000" w:rsidR="00000000" w:rsidRPr="00000000">
              <w:rPr>
                <w:color w:val="202122"/>
                <w:vertAlign w:val="baseline"/>
                <w:rtl w:val="0"/>
              </w:rPr>
              <w:t xml:space="preserve">” </w:t>
            </w:r>
            <w:r w:rsidDel="00000000" w:rsidR="00000000" w:rsidRPr="00000000">
              <w:rPr>
                <w:vertAlign w:val="baseline"/>
                <w:rtl w:val="0"/>
              </w:rPr>
              <w:t xml:space="preserve">у настави. 14. Презентације – преводилачке активности у настави француског језика као страног. 15. Припрема предлога семинарског рада.   </w:t>
            </w:r>
          </w:p>
          <w:p w:rsidR="00000000" w:rsidDel="00000000" w:rsidP="00000000" w:rsidRDefault="00000000" w:rsidRPr="00000000" w14:paraId="0000002F">
            <w:pPr>
              <w:tabs>
                <w:tab w:val="left" w:pos="567"/>
              </w:tabs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Анализирање различитих врста француских изворних текстова и њихово коришћење у настави.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pos="567"/>
              </w:tabs>
              <w:ind w:left="432" w:hanging="432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"/>
              </w:tabs>
              <w:spacing w:after="0" w:before="0" w:line="240" w:lineRule="auto"/>
              <w:ind w:left="432" w:right="0" w:hanging="43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Бунтић, Димитрије (1994). „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Лажни пријатељи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”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у лингвистици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Крушевац: Виша технолошко-техничка школа.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Константиновић, Рaдивоје (2010).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 превођењу поезије и други огледи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Београд: Српска књижевна задруга.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Maрojeвић, Рaдмилo (1988).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Лингвистикa и пoeтикa прeвoђeњa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Бeoгрaд: Нaучнa књигa.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Хлeбeц, Бoрис (2009).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Oпштa нaчeлa прeвoђeњa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Бeoгрaд: Београдска књига.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Чoвић, Брaнимир (1994).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Пoeтикa књижeвнoг прeвoђeњa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Бeoгрaд: Нaучнa књигa.</w:t>
            </w:r>
          </w:p>
          <w:p w:rsidR="00000000" w:rsidDel="00000000" w:rsidP="00000000" w:rsidRDefault="00000000" w:rsidRPr="00000000" w14:paraId="0000003B">
            <w:pPr>
              <w:widowControl w:val="1"/>
              <w:tabs>
                <w:tab w:val="left" w:pos="567"/>
              </w:tabs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Ballard, Michel (рrir.) (2009).</w:t>
            </w:r>
            <w:r w:rsidDel="00000000" w:rsidR="00000000" w:rsidRPr="00000000">
              <w:rPr>
                <w:i w:val="1"/>
                <w:color w:val="000000"/>
                <w:vertAlign w:val="baseline"/>
                <w:rtl w:val="0"/>
              </w:rPr>
              <w:t xml:space="preserve"> Traductologie et enseignement de traduction à l’Université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i w:val="1"/>
                <w:color w:val="00000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Arras : Artois Presses Université.</w:t>
            </w:r>
          </w:p>
          <w:p w:rsidR="00000000" w:rsidDel="00000000" w:rsidP="00000000" w:rsidRDefault="00000000" w:rsidRPr="00000000" w14:paraId="0000003C">
            <w:pPr>
              <w:widowControl w:val="1"/>
              <w:tabs>
                <w:tab w:val="left" w:pos="567"/>
              </w:tabs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highlight w:val="white"/>
                <w:vertAlign w:val="baseline"/>
                <w:rtl w:val="0"/>
              </w:rPr>
              <w:t xml:space="preserve">Castellotti, Véronique (2001). </w:t>
            </w:r>
            <w:r w:rsidDel="00000000" w:rsidR="00000000" w:rsidRPr="00000000">
              <w:rPr>
                <w:i w:val="1"/>
                <w:color w:val="000000"/>
                <w:highlight w:val="white"/>
                <w:vertAlign w:val="baseline"/>
                <w:rtl w:val="0"/>
              </w:rPr>
              <w:t xml:space="preserve">La langue maternelle en classe de langue étrangère</w:t>
            </w:r>
            <w:r w:rsidDel="00000000" w:rsidR="00000000" w:rsidRPr="00000000">
              <w:rPr>
                <w:color w:val="000000"/>
                <w:highlight w:val="white"/>
                <w:vertAlign w:val="baseline"/>
                <w:rtl w:val="0"/>
              </w:rPr>
              <w:t xml:space="preserve">. Paris : CLE international.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1"/>
              <w:tabs>
                <w:tab w:val="left" w:pos="567"/>
              </w:tabs>
              <w:jc w:val="both"/>
              <w:rPr>
                <w:color w:val="000000"/>
                <w:highlight w:val="white"/>
                <w:vertAlign w:val="baseline"/>
              </w:rPr>
            </w:pPr>
            <w:r w:rsidDel="00000000" w:rsidR="00000000" w:rsidRPr="00000000">
              <w:rPr>
                <w:color w:val="000000"/>
                <w:highlight w:val="white"/>
                <w:vertAlign w:val="baseline"/>
                <w:rtl w:val="0"/>
              </w:rPr>
              <w:t xml:space="preserve">Castellotti, Véronique (2017). </w:t>
            </w:r>
            <w:r w:rsidDel="00000000" w:rsidR="00000000" w:rsidRPr="00000000">
              <w:rPr>
                <w:i w:val="1"/>
                <w:color w:val="000000"/>
                <w:highlight w:val="white"/>
                <w:vertAlign w:val="baseline"/>
                <w:rtl w:val="0"/>
              </w:rPr>
              <w:t xml:space="preserve">Pour une didactique de l’appropriation : diversité, compréhension, relation</w:t>
            </w:r>
            <w:r w:rsidDel="00000000" w:rsidR="00000000" w:rsidRPr="00000000">
              <w:rPr>
                <w:color w:val="000000"/>
                <w:highlight w:val="white"/>
                <w:vertAlign w:val="baseline"/>
                <w:rtl w:val="0"/>
              </w:rPr>
              <w:t xml:space="preserve">. Paris : Didier.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Đurin, Tatjana, Popović, Nataša (2020). Deux auberges du lointain: deux traduction serbes de la bande dessinée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Astérix en Corse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Philologia Mediana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XII/12 (2020). Ниш: Филозофски факултет, 215–234.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Guidère, Mathieu (2013).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Introduction à la traduction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Bruxelles : De Boeck.</w:t>
            </w:r>
          </w:p>
          <w:p w:rsidR="00000000" w:rsidDel="00000000" w:rsidP="00000000" w:rsidRDefault="00000000" w:rsidRPr="00000000" w14:paraId="00000040">
            <w:pPr>
              <w:widowControl w:val="1"/>
              <w:tabs>
                <w:tab w:val="left" w:pos="567"/>
              </w:tabs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Levi, Jirži (1982). </w:t>
            </w:r>
            <w:r w:rsidDel="00000000" w:rsidR="00000000" w:rsidRPr="00000000">
              <w:rPr>
                <w:i w:val="1"/>
                <w:color w:val="000000"/>
                <w:vertAlign w:val="baseline"/>
                <w:rtl w:val="0"/>
              </w:rPr>
              <w:t xml:space="preserve">Umjetnost prevođenja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. Sarajevo: Svjetlost, OOUR Zavod za udžbenike i nastavna sredstva.</w:t>
            </w:r>
          </w:p>
          <w:p w:rsidR="00000000" w:rsidDel="00000000" w:rsidP="00000000" w:rsidRDefault="00000000" w:rsidRPr="00000000" w14:paraId="00000041">
            <w:pPr>
              <w:widowControl w:val="1"/>
              <w:tabs>
                <w:tab w:val="left" w:pos="567"/>
              </w:tabs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Novakov, Predrag (2001). </w:t>
            </w:r>
            <w:r w:rsidDel="00000000" w:rsidR="00000000" w:rsidRPr="00000000">
              <w:rPr>
                <w:i w:val="1"/>
                <w:color w:val="000000"/>
                <w:vertAlign w:val="baseline"/>
                <w:rtl w:val="0"/>
              </w:rPr>
              <w:t xml:space="preserve">Prevođenje u nastavi stranog jezika na univerzitetu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. Zbornik radova „Savremene tendencije u učenju i nastavi stranih jezika”. Nikšić</w:t>
            </w:r>
            <w:r w:rsidDel="00000000" w:rsidR="00000000" w:rsidRPr="00000000">
              <w:rPr>
                <w:color w:val="000000"/>
                <w:highlight w:val="white"/>
                <w:vertAlign w:val="baseline"/>
                <w:rtl w:val="0"/>
              </w:rPr>
              <w:t xml:space="preserve">: Filozofski fakultet Univerziteta Crne Gore,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181</w:t>
            </w:r>
            <w:r w:rsidDel="00000000" w:rsidR="00000000" w:rsidRPr="00000000">
              <w:rPr>
                <w:color w:val="000000"/>
                <w:highlight w:val="white"/>
                <w:vertAlign w:val="baseline"/>
                <w:rtl w:val="0"/>
              </w:rPr>
              <w:t xml:space="preserve">–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193.</w:t>
            </w:r>
          </w:p>
          <w:p w:rsidR="00000000" w:rsidDel="00000000" w:rsidP="00000000" w:rsidRDefault="00000000" w:rsidRPr="00000000" w14:paraId="00000042">
            <w:pPr>
              <w:widowControl w:val="1"/>
              <w:tabs>
                <w:tab w:val="left" w:pos="567"/>
              </w:tabs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Qotb, Hani (2016). La traduction comme activité médiatrice dans un cours de FLE. </w:t>
            </w:r>
            <w:r w:rsidDel="00000000" w:rsidR="00000000" w:rsidRPr="00000000">
              <w:rPr>
                <w:i w:val="1"/>
                <w:color w:val="000000"/>
                <w:vertAlign w:val="baseline"/>
                <w:rtl w:val="0"/>
              </w:rPr>
              <w:t xml:space="preserve">Les Langues Modernes 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i w:val="1"/>
                <w:color w:val="000000"/>
                <w:vertAlign w:val="baseline"/>
                <w:rtl w:val="0"/>
              </w:rPr>
              <w:t xml:space="preserve">Approches pratiques de la traduction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, N</w:t>
            </w:r>
            <w:r w:rsidDel="00000000" w:rsidR="00000000" w:rsidRPr="00000000">
              <w:rPr>
                <w:color w:val="000000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2/2016 (2016). Paris : Association des professeurs de langues vivantes, 21-30.</w:t>
            </w:r>
          </w:p>
          <w:p w:rsidR="00000000" w:rsidDel="00000000" w:rsidP="00000000" w:rsidRDefault="00000000" w:rsidRPr="00000000" w14:paraId="00000043">
            <w:pPr>
              <w:widowControl w:val="1"/>
              <w:tabs>
                <w:tab w:val="left" w:pos="567"/>
              </w:tabs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Rajić, Ljubiša</w:t>
            </w:r>
            <w:r w:rsidDel="00000000" w:rsidR="00000000" w:rsidRPr="00000000">
              <w:rPr>
                <w:i w:val="1"/>
                <w:color w:val="00000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(рrir.)</w:t>
            </w:r>
            <w:r w:rsidDel="00000000" w:rsidR="00000000" w:rsidRPr="00000000">
              <w:rPr>
                <w:i w:val="1"/>
                <w:color w:val="00000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(1981). </w:t>
            </w:r>
            <w:r w:rsidDel="00000000" w:rsidR="00000000" w:rsidRPr="00000000">
              <w:rPr>
                <w:i w:val="1"/>
                <w:color w:val="000000"/>
                <w:vertAlign w:val="baseline"/>
                <w:rtl w:val="0"/>
              </w:rPr>
              <w:t xml:space="preserve">Teorija i poetika prevođenja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. Beograd: Prosveta. </w:t>
            </w:r>
          </w:p>
          <w:p w:rsidR="00000000" w:rsidDel="00000000" w:rsidP="00000000" w:rsidRDefault="00000000" w:rsidRPr="00000000" w14:paraId="00000044">
            <w:pPr>
              <w:widowControl w:val="1"/>
              <w:tabs>
                <w:tab w:val="left" w:pos="567"/>
              </w:tabs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Stanković, Selena M., Živić, Nataša M. (2019). Les titres d’œuvres littéraires : la traduction du français vers le serbe. </w:t>
            </w:r>
            <w:r w:rsidDel="00000000" w:rsidR="00000000" w:rsidRPr="00000000">
              <w:rPr>
                <w:i w:val="1"/>
                <w:color w:val="000000"/>
                <w:vertAlign w:val="baseline"/>
                <w:rtl w:val="0"/>
              </w:rPr>
              <w:t xml:space="preserve">Philologia Mediana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,  XI/11 (2019). Ниш: Филозофски факултет, 49–69. 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Živić, Nataša, Stanković, Selena (2019). Sur la traduction de la poésie de Milovan Danojlić en français. </w:t>
            </w:r>
            <w:r w:rsidDel="00000000" w:rsidR="00000000" w:rsidRPr="00000000">
              <w:rPr>
                <w:i w:val="1"/>
                <w:color w:val="000000"/>
                <w:vertAlign w:val="baseline"/>
                <w:rtl w:val="0"/>
              </w:rPr>
              <w:t xml:space="preserve">Facta Universitatis, Series: Linguistics and Literature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, 17/2 (2019). Niš: University of Niš, 187–200.</w:t>
            </w:r>
          </w:p>
          <w:p w:rsidR="00000000" w:rsidDel="00000000" w:rsidP="00000000" w:rsidRDefault="00000000" w:rsidRPr="00000000" w14:paraId="00000046">
            <w:pPr>
              <w:widowControl w:val="1"/>
              <w:tabs>
                <w:tab w:val="left" w:pos="567"/>
              </w:tabs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tabs>
                <w:tab w:val="left" w:pos="567"/>
              </w:tabs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Напомена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: Литература се допуњује избором чланака везани</w:t>
            </w:r>
            <w:r w:rsidDel="00000000" w:rsidR="00000000" w:rsidRPr="00000000">
              <w:rPr>
                <w:rtl w:val="0"/>
              </w:rPr>
              <w:t xml:space="preserve">х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за одабране теме истраживања.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активне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Методе извођења наставе: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tabs>
                <w:tab w:val="left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Монолошка метода (предавања и презентације), дијалошко-дискусиона и консултативна метода, аналитичко-интерпретативна метода, метода рада на тексту, самостални истраживачки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Оцена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pos="567"/>
              </w:tabs>
              <w:spacing w:after="60" w:lineRule="auto"/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pos="567"/>
              </w:tabs>
              <w:spacing w:after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3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Семинарски рад:</w:t>
            </w:r>
          </w:p>
          <w:p w:rsidR="00000000" w:rsidDel="00000000" w:rsidP="00000000" w:rsidRDefault="00000000" w:rsidRPr="00000000" w14:paraId="00000062">
            <w:pPr>
              <w:tabs>
                <w:tab w:val="left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предлог + рад + одбрана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pos="567"/>
              </w:tabs>
              <w:spacing w:after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10 + 40 + 20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Усмени испит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pos="567"/>
              </w:tabs>
              <w:spacing w:after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67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center"/>
        <w:rPr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851" w:top="2269" w:left="426" w:right="283" w:header="113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688.0" w:type="dxa"/>
      <w:jc w:val="left"/>
      <w:tblInd w:w="108.0" w:type="pct"/>
      <w:tblLayout w:type="fixed"/>
      <w:tblLook w:val="0000"/>
    </w:tblPr>
    <w:tblGrid>
      <w:gridCol w:w="1634"/>
      <w:gridCol w:w="6354"/>
      <w:gridCol w:w="1700"/>
      <w:tblGridChange w:id="0">
        <w:tblGrid>
          <w:gridCol w:w="1634"/>
          <w:gridCol w:w="6354"/>
          <w:gridCol w:w="1700"/>
        </w:tblGrid>
      </w:tblGridChange>
    </w:tblGrid>
    <w:tr>
      <w:trPr>
        <w:cantSplit w:val="1"/>
        <w:trHeight w:val="367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6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00430" cy="899795"/>
                <wp:effectExtent b="0" l="0" r="0" t="0"/>
                <wp:docPr id="102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ffffff" w:val="clear"/>
          <w:vAlign w:val="center"/>
        </w:tcPr>
        <w:p w:rsidR="00000000" w:rsidDel="00000000" w:rsidP="00000000" w:rsidRDefault="00000000" w:rsidRPr="00000000" w14:paraId="0000006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6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23290" cy="922020"/>
                <wp:effectExtent b="0" l="0" r="0" t="0"/>
                <wp:docPr id="10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290" cy="922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67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6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e6e6e6" w:val="clear"/>
          <w:vAlign w:val="center"/>
        </w:tcPr>
        <w:p w:rsidR="00000000" w:rsidDel="00000000" w:rsidP="00000000" w:rsidRDefault="00000000" w:rsidRPr="00000000" w14:paraId="0000006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7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4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7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ffffff" w:val="clear"/>
          <w:vAlign w:val="center"/>
        </w:tcPr>
        <w:p w:rsidR="00000000" w:rsidDel="00000000" w:rsidP="00000000" w:rsidRDefault="00000000" w:rsidRPr="00000000" w14:paraId="0000007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Мастер академске студије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Француски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7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ind w:left="432" w:hanging="432"/>
    </w:pPr>
    <w:rPr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sr-Latn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sr-Latn"/>
    </w:rPr>
  </w:style>
  <w:style w:type="character" w:styleId="DefaultParagraphFont0">
    <w:name w:val="Default Paragraph Font"/>
    <w:next w:val="DefaultParagraphFont0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Times New Roman" w:cs="Times New Roman" w:eastAsia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DefaultParagraphFont">
    <w:name w:val="WW-Default Paragraph Font"/>
    <w:next w:val="WW-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">
    <w:name w:val="Mention"/>
    <w:next w:val="Mention"/>
    <w:autoRedefine w:val="0"/>
    <w:hidden w:val="0"/>
    <w:qFormat w:val="0"/>
    <w:rPr>
      <w:color w:val="2b579a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0"/>
    <w:rPr>
      <w:color w:val="808080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val="sr-Latn"/>
    </w:rPr>
  </w:style>
  <w:style w:type="character" w:styleId="fontstyle01">
    <w:name w:val="fontstyle01"/>
    <w:next w:val="fontstyle01"/>
    <w:autoRedefine w:val="0"/>
    <w:hidden w:val="0"/>
    <w:qFormat w:val="0"/>
    <w:rPr>
      <w:rFonts w:ascii="ArialMT" w:cs="ArialMT" w:hAnsi="ArialMT" w:hint="default"/>
      <w:b w:val="0"/>
      <w:bCs w:val="0"/>
      <w:i w:val="0"/>
      <w:iCs w:val="0"/>
      <w:color w:val="000000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uppercase">
    <w:name w:val="uppercase"/>
    <w:basedOn w:val="WW-DefaultParagraphFont"/>
    <w:next w:val="uppercas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beringSymbols">
    <w:name w:val="Numbering Symbols"/>
    <w:next w:val="Numbering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Bullets">
    <w:name w:val="Bullets"/>
    <w:next w:val="Bullet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CommentReference">
    <w:name w:val="Comment Reference"/>
    <w:next w:val="CommentReference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val="sr-Latn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val="sr-Latn"/>
    </w:rPr>
  </w:style>
  <w:style w:type="paragraph" w:styleId="Heading">
    <w:name w:val="Heading"/>
    <w:basedOn w:val="Normal"/>
    <w:next w:val="BodyText"/>
    <w:autoRedefine w:val="0"/>
    <w:hidden w:val="0"/>
    <w:qFormat w:val="0"/>
    <w:pPr>
      <w:keepNext w:val="1"/>
      <w:widowControl w:val="0"/>
      <w:suppressAutoHyphens w:val="0"/>
      <w:autoSpaceDE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sr-Latn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sr-Cyrl"/>
    </w:rPr>
  </w:style>
  <w:style w:type="paragraph" w:styleId="List">
    <w:name w:val="List"/>
    <w:basedOn w:val="BodyText"/>
    <w:next w:val="List"/>
    <w:autoRedefine w:val="0"/>
    <w:hidden w:val="0"/>
    <w:qFormat w:val="0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sr-Cyrl"/>
    </w:rPr>
  </w:style>
  <w:style w:type="paragraph" w:styleId="Caption">
    <w:name w:val="Caption"/>
    <w:basedOn w:val="Normal"/>
    <w:next w:val="Caption"/>
    <w:autoRedefine w:val="0"/>
    <w:hidden w:val="0"/>
    <w:qFormat w:val="0"/>
    <w:pPr>
      <w:widowControl w:val="0"/>
      <w:suppressLineNumbers w:val="1"/>
      <w:suppressAutoHyphens w:val="0"/>
      <w:autoSpaceDE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sr-Latn"/>
    </w:rPr>
  </w:style>
  <w:style w:type="paragraph" w:styleId="Index">
    <w:name w:val="Index"/>
    <w:basedOn w:val="Normal"/>
    <w:next w:val="Index"/>
    <w:autoRedefine w:val="0"/>
    <w:hidden w:val="0"/>
    <w:qFormat w:val="0"/>
    <w:pPr>
      <w:widowControl w:val="0"/>
      <w:suppressLineNumbers w:val="1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sr-Latn"/>
    </w:r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sr-Latn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sr-Latn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sr-Latn"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widowControl w:val="1"/>
      <w:suppressAutoHyphens w:val="0"/>
      <w:autoSpaceDE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sr-Latn"/>
    </w:rPr>
  </w:style>
  <w:style w:type="paragraph" w:styleId="TableContents">
    <w:name w:val="Table Contents"/>
    <w:basedOn w:val="Normal"/>
    <w:next w:val="TableContents"/>
    <w:autoRedefine w:val="0"/>
    <w:hidden w:val="0"/>
    <w:qFormat w:val="0"/>
    <w:pPr>
      <w:widowControl w:val="0"/>
      <w:suppressLineNumbers w:val="1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sr-Latn"/>
    </w:rPr>
  </w:style>
  <w:style w:type="paragraph" w:styleId="TableHeading">
    <w:name w:val="Table Heading"/>
    <w:basedOn w:val="TableContents"/>
    <w:next w:val="TableHeading"/>
    <w:autoRedefine w:val="0"/>
    <w:hidden w:val="0"/>
    <w:qFormat w:val="0"/>
    <w:pPr>
      <w:widowControl w:val="0"/>
      <w:suppressLineNumbers w:val="1"/>
      <w:suppressAutoHyphens w:val="0"/>
      <w:autoSpaceDE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effect w:val="none"/>
      <w:vertAlign w:val="baseline"/>
      <w:cs w:val="0"/>
      <w:em w:val="none"/>
      <w:lang w:bidi="ar-SA" w:eastAsia="ar-SA" w:val="sr-Latn"/>
    </w:rPr>
  </w:style>
  <w:style w:type="paragraph" w:styleId="CommentText">
    <w:name w:val="Comment Text"/>
    <w:basedOn w:val="Normal"/>
    <w:next w:val="CommentText"/>
    <w:autoRedefine w:val="0"/>
    <w:hidden w:val="0"/>
    <w:qFormat w:val="0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sr-Latn"/>
    </w:rPr>
  </w:style>
  <w:style w:type="paragraph" w:styleId="CommentSubject">
    <w:name w:val="Comment Subject"/>
    <w:basedOn w:val="CommentText"/>
    <w:next w:val="CommentText"/>
    <w:autoRedefine w:val="0"/>
    <w:hidden w:val="0"/>
    <w:qFormat w:val="0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effect w:val="none"/>
      <w:vertAlign w:val="baseline"/>
      <w:cs w:val="0"/>
      <w:em w:val="none"/>
      <w:lang w:bidi="ar-SA" w:eastAsia="ar-SA" w:val="sr-Latn"/>
    </w:rPr>
  </w:style>
  <w:style w:type="character" w:styleId="Emphasis">
    <w:name w:val="Emphasis"/>
    <w:next w:val="Emph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/iKL4uaVaRgMsHgA18SRdJymgw==">AMUW2mXcQrcl4QAmBB77GObj41YGYpiqDAtJ2bLShVaJioRaUgpv0fx+DbXYaXeGCSt+ZvgO1Sm+WpjPuQRys2HvKfQPHUe30hfXvGm/7jaAKF4xkpbCAZI=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2022-03-13T12:12:00Z</dcterms:created>
  <dc:creator>Saša Trenčić</dc:creator>
</cp:coreProperties>
</file>