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30494" w14:textId="77777777" w:rsidR="00DD020E" w:rsidRPr="006B4F67" w:rsidRDefault="00DD020E" w:rsidP="00C42606">
      <w:pPr>
        <w:tabs>
          <w:tab w:val="left" w:pos="7740"/>
        </w:tabs>
        <w:autoSpaceDE w:val="0"/>
        <w:autoSpaceDN w:val="0"/>
        <w:adjustRightInd w:val="0"/>
        <w:ind w:right="-830" w:hanging="900"/>
        <w:rPr>
          <w:rFonts w:eastAsia="TimesNewRomanPS-BoldMT"/>
          <w:b/>
          <w:bCs/>
          <w:sz w:val="20"/>
          <w:szCs w:val="20"/>
          <w:lang w:val="sr-Cyrl-RS"/>
        </w:rPr>
      </w:pPr>
      <w:r w:rsidRPr="006B4F67">
        <w:rPr>
          <w:rFonts w:eastAsia="TimesNewRomanPS-BoldMT"/>
          <w:b/>
          <w:bCs/>
          <w:sz w:val="20"/>
          <w:szCs w:val="20"/>
          <w:lang w:val="sr-Cyrl-RS"/>
        </w:rPr>
        <w:t>УНИВЕРЗИТЕТ У НИШУ</w:t>
      </w:r>
      <w:r w:rsidRPr="006B4F67">
        <w:rPr>
          <w:rFonts w:eastAsia="TimesNewRomanPS-BoldMT"/>
          <w:b/>
          <w:bCs/>
          <w:sz w:val="20"/>
          <w:szCs w:val="20"/>
          <w:lang w:val="sr-Cyrl-RS"/>
        </w:rPr>
        <w:tab/>
      </w:r>
      <w:r w:rsidRPr="006B4F67">
        <w:rPr>
          <w:rFonts w:eastAsia="TimesNewRomanPS-BoldMT"/>
          <w:b/>
          <w:bCs/>
          <w:sz w:val="20"/>
          <w:szCs w:val="20"/>
          <w:lang w:val="sr-Cyrl-RS"/>
        </w:rPr>
        <w:tab/>
      </w:r>
      <w:r w:rsidRPr="006B4F67">
        <w:rPr>
          <w:rFonts w:eastAsia="TimesNewRomanPS-BoldMT"/>
          <w:b/>
          <w:bCs/>
          <w:sz w:val="20"/>
          <w:szCs w:val="20"/>
          <w:lang w:val="sr-Cyrl-RS"/>
        </w:rPr>
        <w:tab/>
      </w:r>
      <w:r w:rsidR="009C7166" w:rsidRPr="006B4F67">
        <w:rPr>
          <w:rFonts w:eastAsia="TimesNewRomanPS-BoldMT"/>
          <w:b/>
          <w:bCs/>
          <w:color w:val="999999"/>
          <w:sz w:val="20"/>
          <w:szCs w:val="20"/>
          <w:lang w:val="sr-Cyrl-RS"/>
        </w:rPr>
        <w:t>Образац Д</w:t>
      </w:r>
      <w:r w:rsidR="00F12CCC" w:rsidRPr="006B4F67">
        <w:rPr>
          <w:rFonts w:eastAsia="TimesNewRomanPS-BoldMT"/>
          <w:b/>
          <w:bCs/>
          <w:color w:val="999999"/>
          <w:sz w:val="20"/>
          <w:szCs w:val="20"/>
          <w:lang w:val="sr-Cyrl-RS"/>
        </w:rPr>
        <w:t>4</w:t>
      </w:r>
    </w:p>
    <w:p w14:paraId="5D03772F" w14:textId="77777777" w:rsidR="00DD020E" w:rsidRPr="006B4F67" w:rsidRDefault="00AB50B1" w:rsidP="00DD020E">
      <w:pPr>
        <w:tabs>
          <w:tab w:val="left" w:pos="6660"/>
        </w:tabs>
        <w:autoSpaceDE w:val="0"/>
        <w:autoSpaceDN w:val="0"/>
        <w:adjustRightInd w:val="0"/>
        <w:ind w:hanging="900"/>
        <w:rPr>
          <w:rFonts w:eastAsia="TimesNewRomanPS-BoldMT"/>
          <w:b/>
          <w:bCs/>
          <w:color w:val="000000"/>
          <w:sz w:val="20"/>
          <w:szCs w:val="20"/>
          <w:lang w:val="sr-Cyrl-RS"/>
        </w:rPr>
      </w:pPr>
      <w:r w:rsidRPr="006B4F67">
        <w:rPr>
          <w:rFonts w:eastAsia="TimesNewRomanPS-BoldMT"/>
          <w:b/>
          <w:bCs/>
          <w:color w:val="000000"/>
          <w:sz w:val="20"/>
          <w:szCs w:val="20"/>
          <w:lang w:val="sr-Cyrl-RS"/>
        </w:rPr>
        <w:t>ФИЛОЗОФСКИ ФАКУЛТЕТ</w:t>
      </w:r>
    </w:p>
    <w:p w14:paraId="6900229C" w14:textId="77777777" w:rsidR="00741600" w:rsidRPr="006B4F67" w:rsidRDefault="00741600">
      <w:pPr>
        <w:rPr>
          <w:sz w:val="6"/>
          <w:szCs w:val="6"/>
          <w:lang w:val="sr-Cyrl-RS"/>
        </w:rPr>
      </w:pPr>
    </w:p>
    <w:tbl>
      <w:tblPr>
        <w:tblW w:w="10881"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39"/>
        <w:gridCol w:w="1798"/>
        <w:gridCol w:w="180"/>
        <w:gridCol w:w="900"/>
        <w:gridCol w:w="605"/>
        <w:gridCol w:w="2811"/>
        <w:gridCol w:w="27"/>
        <w:gridCol w:w="1596"/>
        <w:gridCol w:w="1262"/>
        <w:gridCol w:w="540"/>
        <w:gridCol w:w="521"/>
        <w:gridCol w:w="102"/>
      </w:tblGrid>
      <w:tr w:rsidR="00461C9C" w:rsidRPr="006B4F67" w14:paraId="3723CC06" w14:textId="77777777" w:rsidTr="00743CA1">
        <w:trPr>
          <w:trHeight w:val="340"/>
          <w:jc w:val="center"/>
        </w:trPr>
        <w:tc>
          <w:tcPr>
            <w:tcW w:w="10881" w:type="dxa"/>
            <w:gridSpan w:val="12"/>
            <w:tcBorders>
              <w:top w:val="single" w:sz="18" w:space="0" w:color="808080"/>
              <w:left w:val="single" w:sz="18" w:space="0" w:color="808080"/>
              <w:bottom w:val="single" w:sz="18" w:space="0" w:color="808080"/>
              <w:right w:val="single" w:sz="18" w:space="0" w:color="808080"/>
            </w:tcBorders>
            <w:shd w:val="clear" w:color="auto" w:fill="D9D9D9"/>
            <w:vAlign w:val="center"/>
          </w:tcPr>
          <w:p w14:paraId="453CA106" w14:textId="77777777" w:rsidR="00461C9C" w:rsidRPr="006B4F67" w:rsidRDefault="00461C9C" w:rsidP="00FD6227">
            <w:pPr>
              <w:jc w:val="center"/>
              <w:rPr>
                <w:rFonts w:eastAsia="TimesNewRomanPS-BoldMT"/>
                <w:b/>
                <w:bCs/>
                <w:lang w:val="sr-Cyrl-RS"/>
              </w:rPr>
            </w:pPr>
          </w:p>
          <w:p w14:paraId="41FA41AA" w14:textId="77777777" w:rsidR="00461C9C" w:rsidRPr="006B4F67" w:rsidRDefault="00C42606" w:rsidP="00FD6227">
            <w:pPr>
              <w:jc w:val="center"/>
              <w:rPr>
                <w:rFonts w:eastAsia="TimesNewRomanPS-BoldMT"/>
                <w:sz w:val="18"/>
                <w:szCs w:val="18"/>
                <w:lang w:val="sr-Cyrl-RS"/>
              </w:rPr>
            </w:pPr>
            <w:r w:rsidRPr="006B4F67">
              <w:rPr>
                <w:rFonts w:eastAsia="TimesNewRomanPS-BoldMT"/>
                <w:b/>
                <w:bCs/>
                <w:sz w:val="28"/>
                <w:szCs w:val="28"/>
                <w:lang w:val="sr-Cyrl-RS"/>
              </w:rPr>
              <w:t>ИЗВЕШТАЈ О ОЦЕНИ ДОКТОРСКЕ ДИСЕРТАЦИЈЕ</w:t>
            </w:r>
          </w:p>
          <w:p w14:paraId="38B5F279" w14:textId="77777777" w:rsidR="0007289B" w:rsidRPr="006B4F67" w:rsidRDefault="0007289B" w:rsidP="00FD6227">
            <w:pPr>
              <w:jc w:val="center"/>
              <w:rPr>
                <w:sz w:val="16"/>
                <w:szCs w:val="16"/>
                <w:lang w:val="sr-Cyrl-RS"/>
              </w:rPr>
            </w:pPr>
          </w:p>
        </w:tc>
      </w:tr>
      <w:tr w:rsidR="009C15C3" w:rsidRPr="006B4F67" w14:paraId="62414BA8" w14:textId="77777777" w:rsidTr="00743CA1">
        <w:trPr>
          <w:trHeight w:val="170"/>
          <w:jc w:val="center"/>
        </w:trPr>
        <w:tc>
          <w:tcPr>
            <w:tcW w:w="10881" w:type="dxa"/>
            <w:gridSpan w:val="12"/>
            <w:tcBorders>
              <w:top w:val="single" w:sz="18" w:space="0" w:color="808080"/>
              <w:bottom w:val="single" w:sz="18" w:space="0" w:color="808080"/>
            </w:tcBorders>
            <w:shd w:val="clear" w:color="auto" w:fill="auto"/>
            <w:vAlign w:val="center"/>
          </w:tcPr>
          <w:p w14:paraId="7356C144" w14:textId="77777777" w:rsidR="009C15C3" w:rsidRPr="006B4F67" w:rsidRDefault="009C15C3" w:rsidP="009C15C3">
            <w:pPr>
              <w:rPr>
                <w:lang w:val="sr-Cyrl-RS"/>
              </w:rPr>
            </w:pPr>
          </w:p>
        </w:tc>
      </w:tr>
      <w:tr w:rsidR="00461C9C" w:rsidRPr="006B4F67" w14:paraId="6D79772E" w14:textId="77777777" w:rsidTr="00743CA1">
        <w:trPr>
          <w:trHeight w:val="340"/>
          <w:jc w:val="center"/>
        </w:trPr>
        <w:tc>
          <w:tcPr>
            <w:tcW w:w="10881" w:type="dxa"/>
            <w:gridSpan w:val="12"/>
            <w:tcBorders>
              <w:top w:val="single" w:sz="18" w:space="0" w:color="808080"/>
            </w:tcBorders>
            <w:shd w:val="clear" w:color="auto" w:fill="D9D9D9"/>
            <w:vAlign w:val="center"/>
          </w:tcPr>
          <w:p w14:paraId="7E0052E8" w14:textId="77777777" w:rsidR="00461C9C" w:rsidRPr="006B4F67" w:rsidRDefault="0086269E" w:rsidP="00FD6227">
            <w:pPr>
              <w:jc w:val="center"/>
              <w:rPr>
                <w:b/>
                <w:lang w:val="sr-Cyrl-RS"/>
              </w:rPr>
            </w:pPr>
            <w:r w:rsidRPr="006B4F67">
              <w:rPr>
                <w:b/>
                <w:lang w:val="sr-Cyrl-RS"/>
              </w:rPr>
              <w:t xml:space="preserve">ПОДАЦИ </w:t>
            </w:r>
            <w:r w:rsidR="00C42606" w:rsidRPr="006B4F67">
              <w:rPr>
                <w:b/>
                <w:lang w:val="sr-Cyrl-RS"/>
              </w:rPr>
              <w:t xml:space="preserve">О </w:t>
            </w:r>
            <w:r w:rsidRPr="006B4F67">
              <w:rPr>
                <w:b/>
                <w:lang w:val="sr-Cyrl-RS"/>
              </w:rPr>
              <w:t>КАНДИДАТ</w:t>
            </w:r>
            <w:r w:rsidR="00C42606" w:rsidRPr="006B4F67">
              <w:rPr>
                <w:b/>
                <w:lang w:val="sr-Cyrl-RS"/>
              </w:rPr>
              <w:t>У</w:t>
            </w:r>
          </w:p>
        </w:tc>
      </w:tr>
      <w:tr w:rsidR="00A775DA" w:rsidRPr="006B4F67" w14:paraId="2F5F54D5" w14:textId="77777777" w:rsidTr="007553DB">
        <w:trPr>
          <w:trHeight w:val="227"/>
          <w:jc w:val="center"/>
        </w:trPr>
        <w:tc>
          <w:tcPr>
            <w:tcW w:w="2337" w:type="dxa"/>
            <w:gridSpan w:val="2"/>
            <w:shd w:val="clear" w:color="auto" w:fill="F3F3F3"/>
            <w:vAlign w:val="center"/>
          </w:tcPr>
          <w:p w14:paraId="67DE04F0" w14:textId="77777777" w:rsidR="00A775DA" w:rsidRPr="006B4F67" w:rsidRDefault="00A775DA" w:rsidP="00C70B76">
            <w:pPr>
              <w:rPr>
                <w:sz w:val="18"/>
                <w:szCs w:val="18"/>
                <w:lang w:val="sr-Cyrl-RS"/>
              </w:rPr>
            </w:pPr>
            <w:r w:rsidRPr="006B4F67">
              <w:rPr>
                <w:sz w:val="18"/>
                <w:szCs w:val="18"/>
                <w:lang w:val="sr-Cyrl-RS"/>
              </w:rPr>
              <w:t>Презиме, име једног родитеља и име</w:t>
            </w:r>
          </w:p>
        </w:tc>
        <w:tc>
          <w:tcPr>
            <w:tcW w:w="8544" w:type="dxa"/>
            <w:gridSpan w:val="10"/>
            <w:vAlign w:val="center"/>
          </w:tcPr>
          <w:p w14:paraId="4B705450" w14:textId="2FF49082" w:rsidR="00A775DA" w:rsidRPr="006B4F67" w:rsidRDefault="00302866" w:rsidP="00944B3C">
            <w:pPr>
              <w:rPr>
                <w:sz w:val="22"/>
                <w:szCs w:val="22"/>
                <w:lang w:val="sr-Cyrl-RS"/>
              </w:rPr>
            </w:pPr>
            <w:r w:rsidRPr="006B4F67">
              <w:rPr>
                <w:sz w:val="22"/>
                <w:szCs w:val="22"/>
                <w:lang w:val="sr-Cyrl-RS"/>
              </w:rPr>
              <w:t>Фигар (Надица) Владимир</w:t>
            </w:r>
          </w:p>
        </w:tc>
      </w:tr>
      <w:tr w:rsidR="00A775DA" w:rsidRPr="006B4F67" w14:paraId="774E19AF" w14:textId="77777777" w:rsidTr="007553DB">
        <w:trPr>
          <w:trHeight w:val="227"/>
          <w:jc w:val="center"/>
        </w:trPr>
        <w:tc>
          <w:tcPr>
            <w:tcW w:w="2337" w:type="dxa"/>
            <w:gridSpan w:val="2"/>
            <w:shd w:val="clear" w:color="auto" w:fill="F3F3F3"/>
            <w:vAlign w:val="center"/>
          </w:tcPr>
          <w:p w14:paraId="77464C10" w14:textId="77777777" w:rsidR="00A775DA" w:rsidRPr="006B4F67" w:rsidRDefault="00A775DA" w:rsidP="00C70B76">
            <w:pPr>
              <w:rPr>
                <w:sz w:val="18"/>
                <w:szCs w:val="18"/>
                <w:lang w:val="sr-Cyrl-RS"/>
              </w:rPr>
            </w:pPr>
            <w:r w:rsidRPr="006B4F67">
              <w:rPr>
                <w:sz w:val="18"/>
                <w:szCs w:val="18"/>
                <w:lang w:val="sr-Cyrl-RS"/>
              </w:rPr>
              <w:t>Датум и место рођења</w:t>
            </w:r>
          </w:p>
        </w:tc>
        <w:tc>
          <w:tcPr>
            <w:tcW w:w="8544" w:type="dxa"/>
            <w:gridSpan w:val="10"/>
            <w:vAlign w:val="center"/>
          </w:tcPr>
          <w:p w14:paraId="5EE0F61A" w14:textId="1D397C54" w:rsidR="00A775DA" w:rsidRPr="006B4F67" w:rsidRDefault="00302866" w:rsidP="00944B3C">
            <w:pPr>
              <w:rPr>
                <w:sz w:val="22"/>
                <w:szCs w:val="22"/>
                <w:lang w:val="sr-Cyrl-RS"/>
              </w:rPr>
            </w:pPr>
            <w:r w:rsidRPr="006B4F67">
              <w:rPr>
                <w:sz w:val="22"/>
                <w:szCs w:val="22"/>
                <w:lang w:val="sr-Cyrl-RS"/>
              </w:rPr>
              <w:t>30. 4. 1981. Ниш, Србија</w:t>
            </w:r>
          </w:p>
        </w:tc>
      </w:tr>
      <w:tr w:rsidR="00A775DA" w:rsidRPr="006B4F67" w14:paraId="470B9597" w14:textId="77777777" w:rsidTr="00743CA1">
        <w:trPr>
          <w:trHeight w:val="340"/>
          <w:jc w:val="center"/>
        </w:trPr>
        <w:tc>
          <w:tcPr>
            <w:tcW w:w="10881" w:type="dxa"/>
            <w:gridSpan w:val="12"/>
            <w:shd w:val="clear" w:color="auto" w:fill="F3F3F3"/>
            <w:vAlign w:val="center"/>
          </w:tcPr>
          <w:p w14:paraId="0A3C5167" w14:textId="77777777" w:rsidR="00A775DA" w:rsidRPr="006B4F67" w:rsidRDefault="00A775DA" w:rsidP="00FD6227">
            <w:pPr>
              <w:jc w:val="center"/>
              <w:rPr>
                <w:b/>
                <w:lang w:val="sr-Cyrl-RS"/>
              </w:rPr>
            </w:pPr>
            <w:r w:rsidRPr="006B4F67">
              <w:rPr>
                <w:b/>
                <w:lang w:val="sr-Cyrl-RS"/>
              </w:rPr>
              <w:t>Основне студије</w:t>
            </w:r>
          </w:p>
        </w:tc>
      </w:tr>
      <w:tr w:rsidR="00302866" w:rsidRPr="006B4F67" w14:paraId="1238C27C" w14:textId="77777777" w:rsidTr="00F5463C">
        <w:trPr>
          <w:trHeight w:val="340"/>
          <w:jc w:val="center"/>
        </w:trPr>
        <w:tc>
          <w:tcPr>
            <w:tcW w:w="2337" w:type="dxa"/>
            <w:gridSpan w:val="2"/>
            <w:shd w:val="clear" w:color="auto" w:fill="F3F3F3"/>
            <w:vAlign w:val="center"/>
          </w:tcPr>
          <w:p w14:paraId="22768C09" w14:textId="77777777" w:rsidR="00302866" w:rsidRPr="006B4F67" w:rsidRDefault="00302866" w:rsidP="00302866">
            <w:pPr>
              <w:rPr>
                <w:sz w:val="18"/>
                <w:szCs w:val="18"/>
                <w:lang w:val="sr-Cyrl-RS"/>
              </w:rPr>
            </w:pPr>
            <w:r w:rsidRPr="006B4F67">
              <w:rPr>
                <w:sz w:val="18"/>
                <w:szCs w:val="18"/>
                <w:lang w:val="sr-Cyrl-RS"/>
              </w:rPr>
              <w:t>Универзитет</w:t>
            </w:r>
          </w:p>
        </w:tc>
        <w:tc>
          <w:tcPr>
            <w:tcW w:w="8544" w:type="dxa"/>
            <w:gridSpan w:val="10"/>
          </w:tcPr>
          <w:p w14:paraId="38E7085E" w14:textId="7A45B50B" w:rsidR="00302866" w:rsidRPr="006B4F67" w:rsidRDefault="00302866" w:rsidP="00302866">
            <w:pPr>
              <w:rPr>
                <w:sz w:val="22"/>
                <w:szCs w:val="22"/>
                <w:lang w:val="sr-Cyrl-RS"/>
              </w:rPr>
            </w:pPr>
            <w:r w:rsidRPr="006B4F67">
              <w:rPr>
                <w:sz w:val="22"/>
                <w:szCs w:val="22"/>
                <w:lang w:val="sr-Cyrl-RS"/>
              </w:rPr>
              <w:t>Универзитет у Нишу</w:t>
            </w:r>
          </w:p>
        </w:tc>
      </w:tr>
      <w:tr w:rsidR="00302866" w:rsidRPr="006B4F67" w14:paraId="49003159" w14:textId="77777777" w:rsidTr="00F5463C">
        <w:trPr>
          <w:trHeight w:val="340"/>
          <w:jc w:val="center"/>
        </w:trPr>
        <w:tc>
          <w:tcPr>
            <w:tcW w:w="2337" w:type="dxa"/>
            <w:gridSpan w:val="2"/>
            <w:shd w:val="clear" w:color="auto" w:fill="F3F3F3"/>
            <w:vAlign w:val="center"/>
          </w:tcPr>
          <w:p w14:paraId="2689DBB3" w14:textId="77777777" w:rsidR="00302866" w:rsidRPr="006B4F67" w:rsidRDefault="00302866" w:rsidP="00302866">
            <w:pPr>
              <w:rPr>
                <w:sz w:val="18"/>
                <w:szCs w:val="18"/>
                <w:lang w:val="sr-Cyrl-RS"/>
              </w:rPr>
            </w:pPr>
            <w:r w:rsidRPr="006B4F67">
              <w:rPr>
                <w:sz w:val="18"/>
                <w:szCs w:val="18"/>
                <w:lang w:val="sr-Cyrl-RS"/>
              </w:rPr>
              <w:t>Факултет</w:t>
            </w:r>
          </w:p>
        </w:tc>
        <w:tc>
          <w:tcPr>
            <w:tcW w:w="8544" w:type="dxa"/>
            <w:gridSpan w:val="10"/>
          </w:tcPr>
          <w:p w14:paraId="11BE34E7" w14:textId="1C67384C" w:rsidR="00302866" w:rsidRPr="006B4F67" w:rsidRDefault="00302866" w:rsidP="00302866">
            <w:pPr>
              <w:rPr>
                <w:sz w:val="22"/>
                <w:szCs w:val="22"/>
                <w:lang w:val="sr-Cyrl-RS"/>
              </w:rPr>
            </w:pPr>
            <w:r w:rsidRPr="006B4F67">
              <w:rPr>
                <w:sz w:val="22"/>
                <w:szCs w:val="22"/>
                <w:lang w:val="sr-Cyrl-RS"/>
              </w:rPr>
              <w:t>Филозофски факултет</w:t>
            </w:r>
          </w:p>
        </w:tc>
      </w:tr>
      <w:tr w:rsidR="00302866" w:rsidRPr="006B4F67" w14:paraId="790B439F" w14:textId="77777777" w:rsidTr="00F5463C">
        <w:trPr>
          <w:trHeight w:val="340"/>
          <w:jc w:val="center"/>
        </w:trPr>
        <w:tc>
          <w:tcPr>
            <w:tcW w:w="2337" w:type="dxa"/>
            <w:gridSpan w:val="2"/>
            <w:shd w:val="clear" w:color="auto" w:fill="F3F3F3"/>
            <w:vAlign w:val="center"/>
          </w:tcPr>
          <w:p w14:paraId="2771FC59" w14:textId="77777777" w:rsidR="00302866" w:rsidRPr="006B4F67" w:rsidRDefault="00302866" w:rsidP="00302866">
            <w:pPr>
              <w:rPr>
                <w:sz w:val="18"/>
                <w:szCs w:val="18"/>
                <w:lang w:val="sr-Cyrl-RS"/>
              </w:rPr>
            </w:pPr>
            <w:r w:rsidRPr="006B4F67">
              <w:rPr>
                <w:sz w:val="18"/>
                <w:szCs w:val="18"/>
                <w:lang w:val="sr-Cyrl-RS"/>
              </w:rPr>
              <w:t>Студијски програм</w:t>
            </w:r>
          </w:p>
        </w:tc>
        <w:tc>
          <w:tcPr>
            <w:tcW w:w="8544" w:type="dxa"/>
            <w:gridSpan w:val="10"/>
          </w:tcPr>
          <w:p w14:paraId="5AEAB414" w14:textId="3547071C" w:rsidR="00302866" w:rsidRPr="006B4F67" w:rsidRDefault="00302866" w:rsidP="00302866">
            <w:pPr>
              <w:rPr>
                <w:sz w:val="22"/>
                <w:szCs w:val="22"/>
                <w:lang w:val="sr-Cyrl-RS"/>
              </w:rPr>
            </w:pPr>
            <w:r w:rsidRPr="006B4F67">
              <w:rPr>
                <w:sz w:val="22"/>
                <w:szCs w:val="22"/>
                <w:lang w:val="sr-Cyrl-RS"/>
              </w:rPr>
              <w:t>Основне академске студије англистике</w:t>
            </w:r>
          </w:p>
        </w:tc>
      </w:tr>
      <w:tr w:rsidR="00302866" w:rsidRPr="006B4F67" w14:paraId="3B55A6A4" w14:textId="77777777" w:rsidTr="00F5463C">
        <w:trPr>
          <w:trHeight w:val="340"/>
          <w:jc w:val="center"/>
        </w:trPr>
        <w:tc>
          <w:tcPr>
            <w:tcW w:w="2337" w:type="dxa"/>
            <w:gridSpan w:val="2"/>
            <w:shd w:val="clear" w:color="auto" w:fill="F3F3F3"/>
            <w:vAlign w:val="center"/>
          </w:tcPr>
          <w:p w14:paraId="402E1B3B" w14:textId="77777777" w:rsidR="00302866" w:rsidRPr="006B4F67" w:rsidRDefault="00302866" w:rsidP="00302866">
            <w:pPr>
              <w:rPr>
                <w:sz w:val="18"/>
                <w:szCs w:val="18"/>
                <w:lang w:val="sr-Cyrl-RS"/>
              </w:rPr>
            </w:pPr>
            <w:r w:rsidRPr="006B4F67">
              <w:rPr>
                <w:sz w:val="18"/>
                <w:szCs w:val="18"/>
                <w:lang w:val="sr-Cyrl-RS"/>
              </w:rPr>
              <w:t>Звање</w:t>
            </w:r>
          </w:p>
        </w:tc>
        <w:tc>
          <w:tcPr>
            <w:tcW w:w="8544" w:type="dxa"/>
            <w:gridSpan w:val="10"/>
          </w:tcPr>
          <w:p w14:paraId="43D772A3" w14:textId="6208453E" w:rsidR="00302866" w:rsidRPr="006B4F67" w:rsidRDefault="00302866" w:rsidP="00302866">
            <w:pPr>
              <w:rPr>
                <w:sz w:val="22"/>
                <w:szCs w:val="22"/>
                <w:lang w:val="sr-Cyrl-RS"/>
              </w:rPr>
            </w:pPr>
            <w:r w:rsidRPr="006B4F67">
              <w:rPr>
                <w:sz w:val="22"/>
                <w:szCs w:val="22"/>
                <w:lang w:val="sr-Cyrl-RS"/>
              </w:rPr>
              <w:t>Дипломирани филолог (англиста)</w:t>
            </w:r>
          </w:p>
        </w:tc>
      </w:tr>
      <w:tr w:rsidR="00302866" w:rsidRPr="006B4F67" w14:paraId="3D4714B1" w14:textId="77777777" w:rsidTr="00F5463C">
        <w:trPr>
          <w:trHeight w:val="340"/>
          <w:jc w:val="center"/>
        </w:trPr>
        <w:tc>
          <w:tcPr>
            <w:tcW w:w="2337" w:type="dxa"/>
            <w:gridSpan w:val="2"/>
            <w:shd w:val="clear" w:color="auto" w:fill="F3F3F3"/>
            <w:vAlign w:val="center"/>
          </w:tcPr>
          <w:p w14:paraId="5FE6A9BC" w14:textId="77777777" w:rsidR="00302866" w:rsidRPr="006B4F67" w:rsidRDefault="00302866" w:rsidP="00302866">
            <w:pPr>
              <w:rPr>
                <w:sz w:val="18"/>
                <w:szCs w:val="18"/>
                <w:lang w:val="sr-Cyrl-RS"/>
              </w:rPr>
            </w:pPr>
            <w:r w:rsidRPr="006B4F67">
              <w:rPr>
                <w:sz w:val="18"/>
                <w:szCs w:val="18"/>
                <w:lang w:val="sr-Cyrl-RS"/>
              </w:rPr>
              <w:t>Година уписа</w:t>
            </w:r>
          </w:p>
        </w:tc>
        <w:tc>
          <w:tcPr>
            <w:tcW w:w="8544" w:type="dxa"/>
            <w:gridSpan w:val="10"/>
          </w:tcPr>
          <w:p w14:paraId="2F0A6811" w14:textId="49AAE56E" w:rsidR="00302866" w:rsidRPr="006B4F67" w:rsidRDefault="00302866" w:rsidP="00302866">
            <w:pPr>
              <w:rPr>
                <w:sz w:val="22"/>
                <w:szCs w:val="22"/>
                <w:lang w:val="sr-Cyrl-RS"/>
              </w:rPr>
            </w:pPr>
            <w:r w:rsidRPr="006B4F67">
              <w:rPr>
                <w:sz w:val="22"/>
                <w:szCs w:val="22"/>
                <w:lang w:val="sr-Cyrl-RS"/>
              </w:rPr>
              <w:t>2007.</w:t>
            </w:r>
          </w:p>
        </w:tc>
      </w:tr>
      <w:tr w:rsidR="00302866" w:rsidRPr="006B4F67" w14:paraId="670E5D37" w14:textId="77777777" w:rsidTr="00F5463C">
        <w:trPr>
          <w:trHeight w:val="340"/>
          <w:jc w:val="center"/>
        </w:trPr>
        <w:tc>
          <w:tcPr>
            <w:tcW w:w="2337" w:type="dxa"/>
            <w:gridSpan w:val="2"/>
            <w:shd w:val="clear" w:color="auto" w:fill="F3F3F3"/>
            <w:vAlign w:val="center"/>
          </w:tcPr>
          <w:p w14:paraId="6AF18CD6" w14:textId="77777777" w:rsidR="00302866" w:rsidRPr="006B4F67" w:rsidRDefault="00302866" w:rsidP="00302866">
            <w:pPr>
              <w:rPr>
                <w:sz w:val="18"/>
                <w:szCs w:val="18"/>
                <w:lang w:val="sr-Cyrl-RS"/>
              </w:rPr>
            </w:pPr>
            <w:r w:rsidRPr="006B4F67">
              <w:rPr>
                <w:sz w:val="18"/>
                <w:szCs w:val="18"/>
                <w:lang w:val="sr-Cyrl-RS"/>
              </w:rPr>
              <w:t>Година завршетка</w:t>
            </w:r>
          </w:p>
        </w:tc>
        <w:tc>
          <w:tcPr>
            <w:tcW w:w="8544" w:type="dxa"/>
            <w:gridSpan w:val="10"/>
          </w:tcPr>
          <w:p w14:paraId="4FB4D2F8" w14:textId="2F5699A0" w:rsidR="00302866" w:rsidRPr="006B4F67" w:rsidRDefault="00302866" w:rsidP="00302866">
            <w:pPr>
              <w:rPr>
                <w:sz w:val="22"/>
                <w:szCs w:val="22"/>
                <w:lang w:val="sr-Cyrl-RS"/>
              </w:rPr>
            </w:pPr>
            <w:r w:rsidRPr="006B4F67">
              <w:rPr>
                <w:sz w:val="22"/>
                <w:szCs w:val="22"/>
                <w:lang w:val="sr-Cyrl-RS"/>
              </w:rPr>
              <w:t>2011.</w:t>
            </w:r>
          </w:p>
        </w:tc>
      </w:tr>
      <w:tr w:rsidR="00302866" w:rsidRPr="006B4F67" w14:paraId="172462A3" w14:textId="77777777" w:rsidTr="00F5463C">
        <w:trPr>
          <w:trHeight w:val="340"/>
          <w:jc w:val="center"/>
        </w:trPr>
        <w:tc>
          <w:tcPr>
            <w:tcW w:w="2337" w:type="dxa"/>
            <w:gridSpan w:val="2"/>
            <w:shd w:val="clear" w:color="auto" w:fill="F3F3F3"/>
            <w:vAlign w:val="center"/>
          </w:tcPr>
          <w:p w14:paraId="2D1B011D" w14:textId="77777777" w:rsidR="00302866" w:rsidRPr="006B4F67" w:rsidRDefault="00302866" w:rsidP="00302866">
            <w:pPr>
              <w:rPr>
                <w:sz w:val="18"/>
                <w:szCs w:val="18"/>
                <w:lang w:val="sr-Cyrl-RS"/>
              </w:rPr>
            </w:pPr>
            <w:r w:rsidRPr="006B4F67">
              <w:rPr>
                <w:sz w:val="18"/>
                <w:szCs w:val="18"/>
                <w:lang w:val="sr-Cyrl-RS"/>
              </w:rPr>
              <w:t>Просечна оцена</w:t>
            </w:r>
          </w:p>
        </w:tc>
        <w:tc>
          <w:tcPr>
            <w:tcW w:w="8544" w:type="dxa"/>
            <w:gridSpan w:val="10"/>
          </w:tcPr>
          <w:p w14:paraId="0006923A" w14:textId="2DC0F575" w:rsidR="00302866" w:rsidRPr="006B4F67" w:rsidRDefault="00302866" w:rsidP="00302866">
            <w:pPr>
              <w:rPr>
                <w:sz w:val="22"/>
                <w:szCs w:val="22"/>
                <w:lang w:val="sr-Cyrl-RS"/>
              </w:rPr>
            </w:pPr>
            <w:r w:rsidRPr="006B4F67">
              <w:rPr>
                <w:sz w:val="22"/>
                <w:szCs w:val="22"/>
                <w:lang w:val="sr-Cyrl-RS"/>
              </w:rPr>
              <w:t>8,77 (осам, 77/100)</w:t>
            </w:r>
          </w:p>
        </w:tc>
      </w:tr>
      <w:tr w:rsidR="00A775DA" w:rsidRPr="006B4F67" w14:paraId="1FC4FDD7" w14:textId="77777777" w:rsidTr="00743CA1">
        <w:trPr>
          <w:trHeight w:val="340"/>
          <w:jc w:val="center"/>
        </w:trPr>
        <w:tc>
          <w:tcPr>
            <w:tcW w:w="10881" w:type="dxa"/>
            <w:gridSpan w:val="12"/>
            <w:shd w:val="clear" w:color="auto" w:fill="F3F3F3"/>
            <w:vAlign w:val="center"/>
          </w:tcPr>
          <w:p w14:paraId="69E8B718" w14:textId="77777777" w:rsidR="00A775DA" w:rsidRPr="006B4F67" w:rsidRDefault="00BB0108" w:rsidP="00FD6227">
            <w:pPr>
              <w:jc w:val="center"/>
              <w:rPr>
                <w:b/>
                <w:lang w:val="sr-Cyrl-RS"/>
              </w:rPr>
            </w:pPr>
            <w:r w:rsidRPr="006B4F67">
              <w:rPr>
                <w:b/>
                <w:lang w:val="sr-Cyrl-RS"/>
              </w:rPr>
              <w:t xml:space="preserve">Мастер студије, </w:t>
            </w:r>
            <w:r w:rsidR="00A775DA" w:rsidRPr="006B4F67">
              <w:rPr>
                <w:b/>
                <w:lang w:val="sr-Cyrl-RS"/>
              </w:rPr>
              <w:t>магистарске студије</w:t>
            </w:r>
          </w:p>
        </w:tc>
      </w:tr>
      <w:tr w:rsidR="00302866" w:rsidRPr="006B4F67" w14:paraId="206C0CF9" w14:textId="77777777" w:rsidTr="00495092">
        <w:trPr>
          <w:trHeight w:val="340"/>
          <w:jc w:val="center"/>
        </w:trPr>
        <w:tc>
          <w:tcPr>
            <w:tcW w:w="2337" w:type="dxa"/>
            <w:gridSpan w:val="2"/>
            <w:shd w:val="clear" w:color="auto" w:fill="F3F3F3"/>
            <w:vAlign w:val="center"/>
          </w:tcPr>
          <w:p w14:paraId="634AD481" w14:textId="77777777" w:rsidR="00302866" w:rsidRPr="006B4F67" w:rsidRDefault="00302866" w:rsidP="00302866">
            <w:pPr>
              <w:rPr>
                <w:sz w:val="18"/>
                <w:szCs w:val="18"/>
                <w:lang w:val="sr-Cyrl-RS"/>
              </w:rPr>
            </w:pPr>
            <w:r w:rsidRPr="006B4F67">
              <w:rPr>
                <w:sz w:val="18"/>
                <w:szCs w:val="18"/>
                <w:lang w:val="sr-Cyrl-RS"/>
              </w:rPr>
              <w:t>Универзитет</w:t>
            </w:r>
          </w:p>
        </w:tc>
        <w:tc>
          <w:tcPr>
            <w:tcW w:w="8544" w:type="dxa"/>
            <w:gridSpan w:val="10"/>
            <w:vAlign w:val="center"/>
          </w:tcPr>
          <w:p w14:paraId="48C749EE" w14:textId="37A82766" w:rsidR="00302866" w:rsidRPr="006B4F67" w:rsidRDefault="00302866" w:rsidP="00302866">
            <w:pPr>
              <w:rPr>
                <w:sz w:val="22"/>
                <w:szCs w:val="22"/>
                <w:lang w:val="sr-Cyrl-RS"/>
              </w:rPr>
            </w:pPr>
            <w:r w:rsidRPr="006B4F67">
              <w:rPr>
                <w:sz w:val="22"/>
                <w:szCs w:val="22"/>
                <w:lang w:val="sr-Cyrl-RS"/>
              </w:rPr>
              <w:t>Универзитет у Нишу</w:t>
            </w:r>
          </w:p>
        </w:tc>
      </w:tr>
      <w:tr w:rsidR="00302866" w:rsidRPr="006B4F67" w14:paraId="479FEC30" w14:textId="77777777" w:rsidTr="00495092">
        <w:trPr>
          <w:trHeight w:val="340"/>
          <w:jc w:val="center"/>
        </w:trPr>
        <w:tc>
          <w:tcPr>
            <w:tcW w:w="2337" w:type="dxa"/>
            <w:gridSpan w:val="2"/>
            <w:shd w:val="clear" w:color="auto" w:fill="F3F3F3"/>
            <w:vAlign w:val="center"/>
          </w:tcPr>
          <w:p w14:paraId="6C3A7A4E" w14:textId="77777777" w:rsidR="00302866" w:rsidRPr="006B4F67" w:rsidRDefault="00302866" w:rsidP="00302866">
            <w:pPr>
              <w:rPr>
                <w:sz w:val="18"/>
                <w:szCs w:val="18"/>
                <w:lang w:val="sr-Cyrl-RS"/>
              </w:rPr>
            </w:pPr>
            <w:r w:rsidRPr="006B4F67">
              <w:rPr>
                <w:sz w:val="18"/>
                <w:szCs w:val="18"/>
                <w:lang w:val="sr-Cyrl-RS"/>
              </w:rPr>
              <w:t>Факултет</w:t>
            </w:r>
          </w:p>
        </w:tc>
        <w:tc>
          <w:tcPr>
            <w:tcW w:w="8544" w:type="dxa"/>
            <w:gridSpan w:val="10"/>
            <w:vAlign w:val="center"/>
          </w:tcPr>
          <w:p w14:paraId="1A72F7FA" w14:textId="11D7E0C8" w:rsidR="00302866" w:rsidRPr="006B4F67" w:rsidRDefault="00302866" w:rsidP="00302866">
            <w:pPr>
              <w:rPr>
                <w:sz w:val="22"/>
                <w:szCs w:val="22"/>
                <w:lang w:val="sr-Cyrl-RS"/>
              </w:rPr>
            </w:pPr>
            <w:r w:rsidRPr="006B4F67">
              <w:rPr>
                <w:sz w:val="22"/>
                <w:szCs w:val="22"/>
                <w:lang w:val="sr-Cyrl-RS"/>
              </w:rPr>
              <w:t>Филозофски факултет</w:t>
            </w:r>
          </w:p>
        </w:tc>
      </w:tr>
      <w:tr w:rsidR="00302866" w:rsidRPr="006B4F67" w14:paraId="6480E8BD" w14:textId="77777777" w:rsidTr="00495092">
        <w:trPr>
          <w:trHeight w:val="340"/>
          <w:jc w:val="center"/>
        </w:trPr>
        <w:tc>
          <w:tcPr>
            <w:tcW w:w="2337" w:type="dxa"/>
            <w:gridSpan w:val="2"/>
            <w:shd w:val="clear" w:color="auto" w:fill="F3F3F3"/>
            <w:vAlign w:val="center"/>
          </w:tcPr>
          <w:p w14:paraId="5D34DA62" w14:textId="77777777" w:rsidR="00302866" w:rsidRPr="006B4F67" w:rsidRDefault="00302866" w:rsidP="00302866">
            <w:pPr>
              <w:rPr>
                <w:sz w:val="18"/>
                <w:szCs w:val="18"/>
                <w:lang w:val="sr-Cyrl-RS"/>
              </w:rPr>
            </w:pPr>
            <w:r w:rsidRPr="006B4F67">
              <w:rPr>
                <w:sz w:val="18"/>
                <w:szCs w:val="18"/>
                <w:lang w:val="sr-Cyrl-RS"/>
              </w:rPr>
              <w:t>Студијски програм</w:t>
            </w:r>
          </w:p>
        </w:tc>
        <w:tc>
          <w:tcPr>
            <w:tcW w:w="8544" w:type="dxa"/>
            <w:gridSpan w:val="10"/>
            <w:vAlign w:val="center"/>
          </w:tcPr>
          <w:p w14:paraId="4FAABF7C" w14:textId="3BF15B44" w:rsidR="00302866" w:rsidRPr="006B4F67" w:rsidRDefault="00302866" w:rsidP="00302866">
            <w:pPr>
              <w:rPr>
                <w:sz w:val="22"/>
                <w:szCs w:val="22"/>
                <w:lang w:val="sr-Cyrl-RS"/>
              </w:rPr>
            </w:pPr>
            <w:r w:rsidRPr="006B4F67">
              <w:rPr>
                <w:sz w:val="22"/>
                <w:szCs w:val="22"/>
                <w:lang w:val="sr-Cyrl-RS"/>
              </w:rPr>
              <w:t xml:space="preserve">Мастер академске студије англистике </w:t>
            </w:r>
          </w:p>
        </w:tc>
      </w:tr>
      <w:tr w:rsidR="00302866" w:rsidRPr="006B4F67" w14:paraId="00AF3AE2" w14:textId="77777777" w:rsidTr="00495092">
        <w:trPr>
          <w:trHeight w:val="340"/>
          <w:jc w:val="center"/>
        </w:trPr>
        <w:tc>
          <w:tcPr>
            <w:tcW w:w="2337" w:type="dxa"/>
            <w:gridSpan w:val="2"/>
            <w:shd w:val="clear" w:color="auto" w:fill="F3F3F3"/>
            <w:vAlign w:val="center"/>
          </w:tcPr>
          <w:p w14:paraId="406D7BB1" w14:textId="77777777" w:rsidR="00302866" w:rsidRPr="006B4F67" w:rsidRDefault="00302866" w:rsidP="00302866">
            <w:pPr>
              <w:rPr>
                <w:sz w:val="18"/>
                <w:szCs w:val="18"/>
                <w:lang w:val="sr-Cyrl-RS"/>
              </w:rPr>
            </w:pPr>
            <w:r w:rsidRPr="006B4F67">
              <w:rPr>
                <w:sz w:val="18"/>
                <w:szCs w:val="18"/>
                <w:lang w:val="sr-Cyrl-RS"/>
              </w:rPr>
              <w:t>Звање</w:t>
            </w:r>
          </w:p>
        </w:tc>
        <w:tc>
          <w:tcPr>
            <w:tcW w:w="8544" w:type="dxa"/>
            <w:gridSpan w:val="10"/>
            <w:vAlign w:val="center"/>
          </w:tcPr>
          <w:p w14:paraId="432F17C2" w14:textId="0F9C4F91" w:rsidR="00302866" w:rsidRPr="006B4F67" w:rsidRDefault="00302866" w:rsidP="00302866">
            <w:pPr>
              <w:rPr>
                <w:sz w:val="22"/>
                <w:szCs w:val="22"/>
                <w:lang w:val="sr-Cyrl-RS"/>
              </w:rPr>
            </w:pPr>
            <w:r w:rsidRPr="006B4F67">
              <w:rPr>
                <w:sz w:val="22"/>
                <w:szCs w:val="22"/>
                <w:lang w:val="sr-Cyrl-RS"/>
              </w:rPr>
              <w:t>Мастер филолог (англиста)</w:t>
            </w:r>
          </w:p>
        </w:tc>
      </w:tr>
      <w:tr w:rsidR="00302866" w:rsidRPr="006B4F67" w14:paraId="3997F1FD" w14:textId="77777777" w:rsidTr="00495092">
        <w:trPr>
          <w:trHeight w:val="340"/>
          <w:jc w:val="center"/>
        </w:trPr>
        <w:tc>
          <w:tcPr>
            <w:tcW w:w="2337" w:type="dxa"/>
            <w:gridSpan w:val="2"/>
            <w:shd w:val="clear" w:color="auto" w:fill="F3F3F3"/>
            <w:vAlign w:val="center"/>
          </w:tcPr>
          <w:p w14:paraId="5D729590" w14:textId="77777777" w:rsidR="00302866" w:rsidRPr="006B4F67" w:rsidRDefault="00302866" w:rsidP="00302866">
            <w:pPr>
              <w:rPr>
                <w:sz w:val="18"/>
                <w:szCs w:val="18"/>
                <w:lang w:val="sr-Cyrl-RS"/>
              </w:rPr>
            </w:pPr>
            <w:r w:rsidRPr="006B4F67">
              <w:rPr>
                <w:sz w:val="18"/>
                <w:szCs w:val="18"/>
                <w:lang w:val="sr-Cyrl-RS"/>
              </w:rPr>
              <w:t>Година уписа</w:t>
            </w:r>
          </w:p>
        </w:tc>
        <w:tc>
          <w:tcPr>
            <w:tcW w:w="8544" w:type="dxa"/>
            <w:gridSpan w:val="10"/>
            <w:vAlign w:val="center"/>
          </w:tcPr>
          <w:p w14:paraId="0FE0AEA0" w14:textId="2DD8911D" w:rsidR="00302866" w:rsidRPr="006B4F67" w:rsidRDefault="00302866" w:rsidP="00302866">
            <w:pPr>
              <w:rPr>
                <w:sz w:val="22"/>
                <w:szCs w:val="22"/>
                <w:lang w:val="sr-Cyrl-RS"/>
              </w:rPr>
            </w:pPr>
            <w:r w:rsidRPr="006B4F67">
              <w:rPr>
                <w:sz w:val="22"/>
                <w:szCs w:val="22"/>
                <w:lang w:val="sr-Cyrl-RS"/>
              </w:rPr>
              <w:t>2011.</w:t>
            </w:r>
          </w:p>
        </w:tc>
      </w:tr>
      <w:tr w:rsidR="00302866" w:rsidRPr="006B4F67" w14:paraId="691F2489" w14:textId="77777777" w:rsidTr="00495092">
        <w:trPr>
          <w:trHeight w:val="340"/>
          <w:jc w:val="center"/>
        </w:trPr>
        <w:tc>
          <w:tcPr>
            <w:tcW w:w="2337" w:type="dxa"/>
            <w:gridSpan w:val="2"/>
            <w:shd w:val="clear" w:color="auto" w:fill="F3F3F3"/>
            <w:vAlign w:val="center"/>
          </w:tcPr>
          <w:p w14:paraId="152B43CA" w14:textId="77777777" w:rsidR="00302866" w:rsidRPr="006B4F67" w:rsidRDefault="00302866" w:rsidP="00302866">
            <w:pPr>
              <w:rPr>
                <w:sz w:val="18"/>
                <w:szCs w:val="18"/>
                <w:lang w:val="sr-Cyrl-RS"/>
              </w:rPr>
            </w:pPr>
            <w:r w:rsidRPr="006B4F67">
              <w:rPr>
                <w:sz w:val="18"/>
                <w:szCs w:val="18"/>
                <w:lang w:val="sr-Cyrl-RS"/>
              </w:rPr>
              <w:t>Година завршетка</w:t>
            </w:r>
          </w:p>
        </w:tc>
        <w:tc>
          <w:tcPr>
            <w:tcW w:w="8544" w:type="dxa"/>
            <w:gridSpan w:val="10"/>
            <w:vAlign w:val="center"/>
          </w:tcPr>
          <w:p w14:paraId="37D45DCC" w14:textId="0E8CBB2C" w:rsidR="00302866" w:rsidRPr="006B4F67" w:rsidRDefault="00302866" w:rsidP="00302866">
            <w:pPr>
              <w:rPr>
                <w:sz w:val="22"/>
                <w:szCs w:val="22"/>
                <w:lang w:val="sr-Cyrl-RS"/>
              </w:rPr>
            </w:pPr>
            <w:r w:rsidRPr="006B4F67">
              <w:rPr>
                <w:sz w:val="22"/>
                <w:szCs w:val="22"/>
                <w:lang w:val="sr-Cyrl-RS"/>
              </w:rPr>
              <w:t>2013.</w:t>
            </w:r>
          </w:p>
        </w:tc>
      </w:tr>
      <w:tr w:rsidR="00302866" w:rsidRPr="006B4F67" w14:paraId="7B278016" w14:textId="77777777" w:rsidTr="00495092">
        <w:trPr>
          <w:trHeight w:val="340"/>
          <w:jc w:val="center"/>
        </w:trPr>
        <w:tc>
          <w:tcPr>
            <w:tcW w:w="2337" w:type="dxa"/>
            <w:gridSpan w:val="2"/>
            <w:shd w:val="clear" w:color="auto" w:fill="F3F3F3"/>
            <w:vAlign w:val="center"/>
          </w:tcPr>
          <w:p w14:paraId="6AC99C45" w14:textId="77777777" w:rsidR="00302866" w:rsidRPr="006B4F67" w:rsidRDefault="00302866" w:rsidP="00302866">
            <w:pPr>
              <w:rPr>
                <w:sz w:val="18"/>
                <w:szCs w:val="18"/>
                <w:lang w:val="sr-Cyrl-RS"/>
              </w:rPr>
            </w:pPr>
            <w:r w:rsidRPr="006B4F67">
              <w:rPr>
                <w:sz w:val="18"/>
                <w:szCs w:val="18"/>
                <w:lang w:val="sr-Cyrl-RS"/>
              </w:rPr>
              <w:t>Просечна оцена</w:t>
            </w:r>
          </w:p>
        </w:tc>
        <w:tc>
          <w:tcPr>
            <w:tcW w:w="8544" w:type="dxa"/>
            <w:gridSpan w:val="10"/>
            <w:vAlign w:val="center"/>
          </w:tcPr>
          <w:p w14:paraId="537CF09C" w14:textId="25CAD2CD" w:rsidR="00302866" w:rsidRPr="006B4F67" w:rsidRDefault="00302866" w:rsidP="00302866">
            <w:pPr>
              <w:rPr>
                <w:sz w:val="22"/>
                <w:szCs w:val="22"/>
                <w:lang w:val="sr-Cyrl-RS"/>
              </w:rPr>
            </w:pPr>
            <w:r w:rsidRPr="006B4F67">
              <w:rPr>
                <w:sz w:val="22"/>
                <w:szCs w:val="22"/>
                <w:lang w:val="sr-Cyrl-RS"/>
              </w:rPr>
              <w:t>10,00 (десет)</w:t>
            </w:r>
          </w:p>
        </w:tc>
      </w:tr>
      <w:tr w:rsidR="00302866" w:rsidRPr="006B4F67" w14:paraId="2D01A24C" w14:textId="77777777" w:rsidTr="00495092">
        <w:trPr>
          <w:trHeight w:val="340"/>
          <w:jc w:val="center"/>
        </w:trPr>
        <w:tc>
          <w:tcPr>
            <w:tcW w:w="2337" w:type="dxa"/>
            <w:gridSpan w:val="2"/>
            <w:shd w:val="clear" w:color="auto" w:fill="F3F3F3"/>
            <w:vAlign w:val="center"/>
          </w:tcPr>
          <w:p w14:paraId="3569D004" w14:textId="77777777" w:rsidR="00302866" w:rsidRPr="006B4F67" w:rsidRDefault="00302866" w:rsidP="00302866">
            <w:pPr>
              <w:rPr>
                <w:sz w:val="18"/>
                <w:szCs w:val="18"/>
                <w:lang w:val="sr-Cyrl-RS"/>
              </w:rPr>
            </w:pPr>
            <w:r w:rsidRPr="006B4F67">
              <w:rPr>
                <w:sz w:val="18"/>
                <w:szCs w:val="18"/>
                <w:lang w:val="sr-Cyrl-RS"/>
              </w:rPr>
              <w:t>Научна област</w:t>
            </w:r>
          </w:p>
        </w:tc>
        <w:tc>
          <w:tcPr>
            <w:tcW w:w="8544" w:type="dxa"/>
            <w:gridSpan w:val="10"/>
            <w:vAlign w:val="center"/>
          </w:tcPr>
          <w:p w14:paraId="375E0564" w14:textId="044CEF81" w:rsidR="00302866" w:rsidRPr="006B4F67" w:rsidRDefault="00302866" w:rsidP="00302866">
            <w:pPr>
              <w:rPr>
                <w:sz w:val="22"/>
                <w:szCs w:val="22"/>
                <w:lang w:val="sr-Cyrl-RS"/>
              </w:rPr>
            </w:pPr>
            <w:r w:rsidRPr="006B4F67">
              <w:rPr>
                <w:sz w:val="22"/>
                <w:szCs w:val="22"/>
                <w:lang w:val="sr-Cyrl-RS"/>
              </w:rPr>
              <w:t>Филолошке науке; англистичка лингвистика; когнитивна лингвистика</w:t>
            </w:r>
          </w:p>
        </w:tc>
      </w:tr>
      <w:tr w:rsidR="00302866" w:rsidRPr="006B4F67" w14:paraId="77DFBA42" w14:textId="77777777" w:rsidTr="00495092">
        <w:trPr>
          <w:trHeight w:val="340"/>
          <w:jc w:val="center"/>
        </w:trPr>
        <w:tc>
          <w:tcPr>
            <w:tcW w:w="2337" w:type="dxa"/>
            <w:gridSpan w:val="2"/>
            <w:shd w:val="clear" w:color="auto" w:fill="F3F3F3"/>
            <w:vAlign w:val="center"/>
          </w:tcPr>
          <w:p w14:paraId="32BC16B3" w14:textId="77777777" w:rsidR="00302866" w:rsidRPr="006B4F67" w:rsidRDefault="00302866" w:rsidP="00302866">
            <w:pPr>
              <w:rPr>
                <w:sz w:val="18"/>
                <w:szCs w:val="18"/>
                <w:lang w:val="sr-Cyrl-RS"/>
              </w:rPr>
            </w:pPr>
            <w:r w:rsidRPr="006B4F67">
              <w:rPr>
                <w:sz w:val="18"/>
                <w:szCs w:val="18"/>
                <w:lang w:val="sr-Cyrl-RS"/>
              </w:rPr>
              <w:t>Наслов завршног рада</w:t>
            </w:r>
          </w:p>
        </w:tc>
        <w:tc>
          <w:tcPr>
            <w:tcW w:w="8544" w:type="dxa"/>
            <w:gridSpan w:val="10"/>
            <w:vAlign w:val="center"/>
          </w:tcPr>
          <w:p w14:paraId="33BEF62D" w14:textId="77777777" w:rsidR="00302866" w:rsidRPr="006B4F67" w:rsidRDefault="00302866" w:rsidP="00302866">
            <w:pPr>
              <w:rPr>
                <w:i/>
                <w:iCs/>
                <w:sz w:val="22"/>
                <w:szCs w:val="22"/>
                <w:lang w:val="sr-Cyrl-RS"/>
              </w:rPr>
            </w:pPr>
            <w:r w:rsidRPr="006B4F67">
              <w:rPr>
                <w:i/>
                <w:iCs/>
                <w:sz w:val="22"/>
                <w:szCs w:val="22"/>
                <w:lang w:val="sr-Cyrl-RS"/>
              </w:rPr>
              <w:t xml:space="preserve">Analysis of Conceptual Metaphors in the Political Discourse of Daily Newspapers: Structure, Function and Emotional Appeal </w:t>
            </w:r>
          </w:p>
          <w:p w14:paraId="74BFA9BD" w14:textId="3FF6F13E" w:rsidR="00302866" w:rsidRPr="006B4F67" w:rsidRDefault="00302866" w:rsidP="00302866">
            <w:pPr>
              <w:rPr>
                <w:i/>
                <w:iCs/>
                <w:sz w:val="22"/>
                <w:szCs w:val="22"/>
                <w:lang w:val="sr-Cyrl-RS"/>
              </w:rPr>
            </w:pPr>
            <w:r w:rsidRPr="006B4F67">
              <w:rPr>
                <w:i/>
                <w:iCs/>
                <w:sz w:val="22"/>
                <w:szCs w:val="22"/>
                <w:lang w:val="sr-Cyrl-RS"/>
              </w:rPr>
              <w:t>(Анализа појмовних метафора у политичком дискурсу дневних новина: структура, функција и емоционални ефекат)</w:t>
            </w:r>
          </w:p>
        </w:tc>
      </w:tr>
      <w:tr w:rsidR="00A775DA" w:rsidRPr="006B4F67" w14:paraId="66ED2ED7" w14:textId="77777777" w:rsidTr="00743CA1">
        <w:trPr>
          <w:trHeight w:val="340"/>
          <w:jc w:val="center"/>
        </w:trPr>
        <w:tc>
          <w:tcPr>
            <w:tcW w:w="10881" w:type="dxa"/>
            <w:gridSpan w:val="12"/>
            <w:shd w:val="clear" w:color="auto" w:fill="F3F3F3"/>
            <w:vAlign w:val="center"/>
          </w:tcPr>
          <w:p w14:paraId="5CF966E4" w14:textId="77777777" w:rsidR="00A775DA" w:rsidRPr="006B4F67" w:rsidRDefault="00A775DA" w:rsidP="00FD6227">
            <w:pPr>
              <w:jc w:val="center"/>
              <w:rPr>
                <w:b/>
                <w:lang w:val="sr-Cyrl-RS"/>
              </w:rPr>
            </w:pPr>
            <w:r w:rsidRPr="006B4F67">
              <w:rPr>
                <w:b/>
                <w:lang w:val="sr-Cyrl-RS"/>
              </w:rPr>
              <w:t>Докторске студије</w:t>
            </w:r>
          </w:p>
        </w:tc>
      </w:tr>
      <w:tr w:rsidR="002D3238" w:rsidRPr="006B4F67" w14:paraId="4E6AFD2E" w14:textId="77777777" w:rsidTr="00F5463C">
        <w:trPr>
          <w:trHeight w:val="340"/>
          <w:jc w:val="center"/>
        </w:trPr>
        <w:tc>
          <w:tcPr>
            <w:tcW w:w="2337" w:type="dxa"/>
            <w:gridSpan w:val="2"/>
            <w:shd w:val="clear" w:color="auto" w:fill="F3F3F3"/>
            <w:vAlign w:val="center"/>
          </w:tcPr>
          <w:p w14:paraId="342ACB2B" w14:textId="77777777" w:rsidR="002D3238" w:rsidRPr="006B4F67" w:rsidRDefault="002D3238" w:rsidP="002D3238">
            <w:pPr>
              <w:rPr>
                <w:sz w:val="18"/>
                <w:szCs w:val="18"/>
                <w:lang w:val="sr-Cyrl-RS"/>
              </w:rPr>
            </w:pPr>
            <w:r w:rsidRPr="006B4F67">
              <w:rPr>
                <w:sz w:val="18"/>
                <w:szCs w:val="18"/>
                <w:lang w:val="sr-Cyrl-RS"/>
              </w:rPr>
              <w:t>Универзитет</w:t>
            </w:r>
          </w:p>
        </w:tc>
        <w:tc>
          <w:tcPr>
            <w:tcW w:w="8544" w:type="dxa"/>
            <w:gridSpan w:val="10"/>
          </w:tcPr>
          <w:p w14:paraId="68C0FB06" w14:textId="77777777" w:rsidR="002D3238" w:rsidRPr="006B4F67" w:rsidRDefault="002D3238" w:rsidP="002D3238">
            <w:pPr>
              <w:rPr>
                <w:sz w:val="22"/>
                <w:szCs w:val="22"/>
                <w:lang w:val="sr-Cyrl-RS"/>
              </w:rPr>
            </w:pPr>
            <w:r w:rsidRPr="006B4F67">
              <w:rPr>
                <w:sz w:val="22"/>
                <w:szCs w:val="22"/>
                <w:lang w:val="sr-Cyrl-RS"/>
              </w:rPr>
              <w:t>Универзитет у Нишу</w:t>
            </w:r>
          </w:p>
        </w:tc>
      </w:tr>
      <w:tr w:rsidR="002D3238" w:rsidRPr="006B4F67" w14:paraId="1576052C" w14:textId="77777777" w:rsidTr="00F5463C">
        <w:trPr>
          <w:trHeight w:val="340"/>
          <w:jc w:val="center"/>
        </w:trPr>
        <w:tc>
          <w:tcPr>
            <w:tcW w:w="2337" w:type="dxa"/>
            <w:gridSpan w:val="2"/>
            <w:shd w:val="clear" w:color="auto" w:fill="F3F3F3"/>
            <w:vAlign w:val="center"/>
          </w:tcPr>
          <w:p w14:paraId="797FAC0B" w14:textId="77777777" w:rsidR="002D3238" w:rsidRPr="006B4F67" w:rsidRDefault="002D3238" w:rsidP="002D3238">
            <w:pPr>
              <w:rPr>
                <w:sz w:val="18"/>
                <w:szCs w:val="18"/>
                <w:lang w:val="sr-Cyrl-RS"/>
              </w:rPr>
            </w:pPr>
            <w:r w:rsidRPr="006B4F67">
              <w:rPr>
                <w:sz w:val="18"/>
                <w:szCs w:val="18"/>
                <w:lang w:val="sr-Cyrl-RS"/>
              </w:rPr>
              <w:t>Факултет</w:t>
            </w:r>
          </w:p>
        </w:tc>
        <w:tc>
          <w:tcPr>
            <w:tcW w:w="8544" w:type="dxa"/>
            <w:gridSpan w:val="10"/>
          </w:tcPr>
          <w:p w14:paraId="31F81623" w14:textId="77777777" w:rsidR="002D3238" w:rsidRPr="006B4F67" w:rsidRDefault="002D3238" w:rsidP="002D3238">
            <w:pPr>
              <w:rPr>
                <w:sz w:val="22"/>
                <w:szCs w:val="22"/>
                <w:lang w:val="sr-Cyrl-RS"/>
              </w:rPr>
            </w:pPr>
            <w:r w:rsidRPr="006B4F67">
              <w:rPr>
                <w:sz w:val="22"/>
                <w:szCs w:val="22"/>
                <w:lang w:val="sr-Cyrl-RS"/>
              </w:rPr>
              <w:t>Филозофски факултет</w:t>
            </w:r>
          </w:p>
        </w:tc>
      </w:tr>
      <w:tr w:rsidR="002D3238" w:rsidRPr="006B4F67" w14:paraId="44FBED68" w14:textId="77777777" w:rsidTr="00F5463C">
        <w:trPr>
          <w:trHeight w:val="340"/>
          <w:jc w:val="center"/>
        </w:trPr>
        <w:tc>
          <w:tcPr>
            <w:tcW w:w="2337" w:type="dxa"/>
            <w:gridSpan w:val="2"/>
            <w:shd w:val="clear" w:color="auto" w:fill="F3F3F3"/>
            <w:vAlign w:val="center"/>
          </w:tcPr>
          <w:p w14:paraId="6BB13542" w14:textId="77777777" w:rsidR="002D3238" w:rsidRPr="006B4F67" w:rsidRDefault="002D3238" w:rsidP="002D3238">
            <w:pPr>
              <w:rPr>
                <w:sz w:val="18"/>
                <w:szCs w:val="18"/>
                <w:lang w:val="sr-Cyrl-RS"/>
              </w:rPr>
            </w:pPr>
            <w:r w:rsidRPr="006B4F67">
              <w:rPr>
                <w:sz w:val="18"/>
                <w:szCs w:val="18"/>
                <w:lang w:val="sr-Cyrl-RS"/>
              </w:rPr>
              <w:t>Студијски програм</w:t>
            </w:r>
          </w:p>
        </w:tc>
        <w:tc>
          <w:tcPr>
            <w:tcW w:w="8544" w:type="dxa"/>
            <w:gridSpan w:val="10"/>
          </w:tcPr>
          <w:p w14:paraId="085521BC" w14:textId="77777777" w:rsidR="002D3238" w:rsidRPr="006B4F67" w:rsidRDefault="002D3238" w:rsidP="002D3238">
            <w:pPr>
              <w:rPr>
                <w:sz w:val="22"/>
                <w:szCs w:val="22"/>
                <w:lang w:val="sr-Cyrl-RS"/>
              </w:rPr>
            </w:pPr>
            <w:r w:rsidRPr="006B4F67">
              <w:rPr>
                <w:sz w:val="22"/>
                <w:szCs w:val="22"/>
                <w:lang w:val="sr-Cyrl-RS"/>
              </w:rPr>
              <w:t>Докторске академске студије филологије</w:t>
            </w:r>
          </w:p>
        </w:tc>
      </w:tr>
      <w:tr w:rsidR="002D3238" w:rsidRPr="006B4F67" w14:paraId="0EF2C87C" w14:textId="77777777" w:rsidTr="00F5463C">
        <w:trPr>
          <w:trHeight w:val="340"/>
          <w:jc w:val="center"/>
        </w:trPr>
        <w:tc>
          <w:tcPr>
            <w:tcW w:w="2337" w:type="dxa"/>
            <w:gridSpan w:val="2"/>
            <w:shd w:val="clear" w:color="auto" w:fill="F3F3F3"/>
            <w:vAlign w:val="center"/>
          </w:tcPr>
          <w:p w14:paraId="0FCF8CE5" w14:textId="77777777" w:rsidR="002D3238" w:rsidRPr="006B4F67" w:rsidRDefault="002D3238" w:rsidP="002D3238">
            <w:pPr>
              <w:rPr>
                <w:sz w:val="18"/>
                <w:szCs w:val="18"/>
                <w:lang w:val="sr-Cyrl-RS"/>
              </w:rPr>
            </w:pPr>
            <w:r w:rsidRPr="006B4F67">
              <w:rPr>
                <w:sz w:val="18"/>
                <w:szCs w:val="18"/>
                <w:lang w:val="sr-Cyrl-RS"/>
              </w:rPr>
              <w:t>Година уписа</w:t>
            </w:r>
          </w:p>
        </w:tc>
        <w:tc>
          <w:tcPr>
            <w:tcW w:w="8544" w:type="dxa"/>
            <w:gridSpan w:val="10"/>
          </w:tcPr>
          <w:p w14:paraId="285CE610" w14:textId="04C6066E" w:rsidR="002D3238" w:rsidRPr="006B4F67" w:rsidRDefault="002D3238" w:rsidP="002D3238">
            <w:pPr>
              <w:rPr>
                <w:sz w:val="22"/>
                <w:szCs w:val="22"/>
                <w:lang w:val="sr-Cyrl-RS"/>
              </w:rPr>
            </w:pPr>
            <w:r w:rsidRPr="006B4F67">
              <w:rPr>
                <w:sz w:val="22"/>
                <w:szCs w:val="22"/>
                <w:lang w:val="sr-Cyrl-RS"/>
              </w:rPr>
              <w:t>201</w:t>
            </w:r>
            <w:r w:rsidR="00302866" w:rsidRPr="006B4F67">
              <w:rPr>
                <w:sz w:val="22"/>
                <w:szCs w:val="22"/>
                <w:lang w:val="sr-Cyrl-RS"/>
              </w:rPr>
              <w:t>5</w:t>
            </w:r>
            <w:r w:rsidRPr="006B4F67">
              <w:rPr>
                <w:sz w:val="22"/>
                <w:szCs w:val="22"/>
                <w:lang w:val="sr-Cyrl-RS"/>
              </w:rPr>
              <w:t>.</w:t>
            </w:r>
          </w:p>
        </w:tc>
      </w:tr>
      <w:tr w:rsidR="00A775DA" w:rsidRPr="006B4F67" w14:paraId="42A919DF" w14:textId="77777777" w:rsidTr="007553DB">
        <w:trPr>
          <w:trHeight w:val="340"/>
          <w:jc w:val="center"/>
        </w:trPr>
        <w:tc>
          <w:tcPr>
            <w:tcW w:w="2337" w:type="dxa"/>
            <w:gridSpan w:val="2"/>
            <w:shd w:val="clear" w:color="auto" w:fill="F3F3F3"/>
            <w:vAlign w:val="center"/>
          </w:tcPr>
          <w:p w14:paraId="1301FA44" w14:textId="77777777" w:rsidR="00A775DA" w:rsidRPr="006B4F67" w:rsidRDefault="00E273C3" w:rsidP="00A775DA">
            <w:pPr>
              <w:rPr>
                <w:sz w:val="18"/>
                <w:szCs w:val="18"/>
                <w:lang w:val="sr-Cyrl-RS"/>
              </w:rPr>
            </w:pPr>
            <w:r w:rsidRPr="006B4F67">
              <w:rPr>
                <w:sz w:val="18"/>
                <w:szCs w:val="18"/>
                <w:lang w:val="sr-Cyrl-RS"/>
              </w:rPr>
              <w:t>Остварен б</w:t>
            </w:r>
            <w:r w:rsidR="00A775DA" w:rsidRPr="006B4F67">
              <w:rPr>
                <w:sz w:val="18"/>
                <w:szCs w:val="18"/>
                <w:lang w:val="sr-Cyrl-RS"/>
              </w:rPr>
              <w:t>рој ЕСПБ бодова</w:t>
            </w:r>
          </w:p>
        </w:tc>
        <w:tc>
          <w:tcPr>
            <w:tcW w:w="8544" w:type="dxa"/>
            <w:gridSpan w:val="10"/>
            <w:vAlign w:val="center"/>
          </w:tcPr>
          <w:p w14:paraId="4DEAC58A" w14:textId="77777777" w:rsidR="00A775DA" w:rsidRPr="006B4F67" w:rsidRDefault="002D3238" w:rsidP="00A775DA">
            <w:pPr>
              <w:rPr>
                <w:sz w:val="22"/>
                <w:szCs w:val="22"/>
                <w:lang w:val="sr-Cyrl-RS"/>
              </w:rPr>
            </w:pPr>
            <w:r w:rsidRPr="006B4F67">
              <w:rPr>
                <w:sz w:val="22"/>
                <w:szCs w:val="22"/>
                <w:lang w:val="sr-Cyrl-RS"/>
              </w:rPr>
              <w:t>140</w:t>
            </w:r>
          </w:p>
        </w:tc>
      </w:tr>
      <w:tr w:rsidR="00A775DA" w:rsidRPr="006B4F67" w14:paraId="27CC02F9" w14:textId="77777777" w:rsidTr="007553DB">
        <w:trPr>
          <w:trHeight w:val="340"/>
          <w:jc w:val="center"/>
        </w:trPr>
        <w:tc>
          <w:tcPr>
            <w:tcW w:w="2337" w:type="dxa"/>
            <w:gridSpan w:val="2"/>
            <w:shd w:val="clear" w:color="auto" w:fill="F3F3F3"/>
            <w:vAlign w:val="center"/>
          </w:tcPr>
          <w:p w14:paraId="6C525893" w14:textId="77777777" w:rsidR="00A775DA" w:rsidRPr="006B4F67" w:rsidRDefault="00A775DA" w:rsidP="00A775DA">
            <w:pPr>
              <w:rPr>
                <w:sz w:val="18"/>
                <w:szCs w:val="18"/>
                <w:lang w:val="sr-Cyrl-RS"/>
              </w:rPr>
            </w:pPr>
            <w:r w:rsidRPr="006B4F67">
              <w:rPr>
                <w:sz w:val="18"/>
                <w:szCs w:val="18"/>
                <w:lang w:val="sr-Cyrl-RS"/>
              </w:rPr>
              <w:t>Просечна оцена</w:t>
            </w:r>
          </w:p>
        </w:tc>
        <w:tc>
          <w:tcPr>
            <w:tcW w:w="8544" w:type="dxa"/>
            <w:gridSpan w:val="10"/>
            <w:vAlign w:val="center"/>
          </w:tcPr>
          <w:p w14:paraId="2E1CF411" w14:textId="2DE30889" w:rsidR="00A775DA" w:rsidRPr="006B4F67" w:rsidRDefault="002D3238" w:rsidP="00A775DA">
            <w:pPr>
              <w:rPr>
                <w:sz w:val="22"/>
                <w:szCs w:val="22"/>
                <w:lang w:val="sr-Cyrl-RS"/>
              </w:rPr>
            </w:pPr>
            <w:r w:rsidRPr="006B4F67">
              <w:rPr>
                <w:sz w:val="22"/>
                <w:szCs w:val="22"/>
                <w:lang w:val="sr-Cyrl-RS"/>
              </w:rPr>
              <w:t>10,00 (десет)</w:t>
            </w:r>
          </w:p>
        </w:tc>
      </w:tr>
      <w:tr w:rsidR="00C2576E" w:rsidRPr="006B4F67" w14:paraId="478E7C4B" w14:textId="77777777" w:rsidTr="00743CA1">
        <w:trPr>
          <w:trHeight w:val="340"/>
          <w:jc w:val="center"/>
        </w:trPr>
        <w:tc>
          <w:tcPr>
            <w:tcW w:w="10881" w:type="dxa"/>
            <w:gridSpan w:val="12"/>
            <w:shd w:val="clear" w:color="auto" w:fill="D9D9D9"/>
            <w:vAlign w:val="center"/>
          </w:tcPr>
          <w:p w14:paraId="589AD948" w14:textId="77777777" w:rsidR="00C2576E" w:rsidRPr="006B4F67" w:rsidRDefault="00C2576E" w:rsidP="00FD6227">
            <w:pPr>
              <w:jc w:val="center"/>
              <w:rPr>
                <w:b/>
                <w:lang w:val="sr-Cyrl-RS"/>
              </w:rPr>
            </w:pPr>
            <w:r w:rsidRPr="006B4F67">
              <w:rPr>
                <w:b/>
                <w:lang w:val="sr-Cyrl-RS"/>
              </w:rPr>
              <w:t>НАСЛОВ ТЕМЕ</w:t>
            </w:r>
            <w:r w:rsidR="002E4CE3" w:rsidRPr="006B4F67">
              <w:rPr>
                <w:rFonts w:eastAsia="TimesNewRomanPS-BoldMT"/>
                <w:b/>
                <w:lang w:val="sr-Cyrl-RS"/>
              </w:rPr>
              <w:t xml:space="preserve"> ДОКТОРСКЕ ДИСЕРТАЦИЈЕ</w:t>
            </w:r>
          </w:p>
        </w:tc>
      </w:tr>
      <w:tr w:rsidR="00C2576E" w:rsidRPr="006B4F67" w14:paraId="49C79981" w14:textId="77777777" w:rsidTr="007553DB">
        <w:trPr>
          <w:trHeight w:val="340"/>
          <w:jc w:val="center"/>
        </w:trPr>
        <w:tc>
          <w:tcPr>
            <w:tcW w:w="2337" w:type="dxa"/>
            <w:gridSpan w:val="2"/>
            <w:shd w:val="clear" w:color="auto" w:fill="F3F3F3"/>
            <w:vAlign w:val="center"/>
          </w:tcPr>
          <w:p w14:paraId="40431A9E" w14:textId="77777777" w:rsidR="00C2576E" w:rsidRPr="006B4F67" w:rsidRDefault="00C2576E" w:rsidP="00C2576E">
            <w:pPr>
              <w:rPr>
                <w:sz w:val="18"/>
                <w:szCs w:val="18"/>
                <w:lang w:val="sr-Cyrl-RS"/>
              </w:rPr>
            </w:pPr>
            <w:r w:rsidRPr="006B4F67">
              <w:rPr>
                <w:rFonts w:eastAsia="TimesNewRomanPS-BoldMT"/>
                <w:sz w:val="18"/>
                <w:szCs w:val="18"/>
                <w:lang w:val="sr-Cyrl-RS"/>
              </w:rPr>
              <w:t>Наслов теме докторске дисертације</w:t>
            </w:r>
          </w:p>
        </w:tc>
        <w:tc>
          <w:tcPr>
            <w:tcW w:w="8544" w:type="dxa"/>
            <w:gridSpan w:val="10"/>
            <w:vAlign w:val="center"/>
          </w:tcPr>
          <w:p w14:paraId="0266D6CC" w14:textId="77777777" w:rsidR="00302866" w:rsidRPr="006B4F67" w:rsidRDefault="00302866" w:rsidP="00C2576E">
            <w:pPr>
              <w:rPr>
                <w:i/>
                <w:sz w:val="22"/>
                <w:szCs w:val="22"/>
                <w:lang w:val="sr-Cyrl-RS"/>
              </w:rPr>
            </w:pPr>
            <w:r w:rsidRPr="006B4F67">
              <w:rPr>
                <w:i/>
                <w:sz w:val="22"/>
                <w:szCs w:val="22"/>
                <w:lang w:val="sr-Cyrl-RS"/>
              </w:rPr>
              <w:t xml:space="preserve">Semantic Frame Activation and Contextual Aptness of Metaphorical Expressions </w:t>
            </w:r>
          </w:p>
          <w:p w14:paraId="69610347" w14:textId="6EFD31A7" w:rsidR="00C2576E" w:rsidRPr="006B4F67" w:rsidRDefault="00302866" w:rsidP="00C2576E">
            <w:pPr>
              <w:rPr>
                <w:sz w:val="22"/>
                <w:szCs w:val="22"/>
                <w:lang w:val="sr-Cyrl-RS"/>
              </w:rPr>
            </w:pPr>
            <w:r w:rsidRPr="006B4F67">
              <w:rPr>
                <w:i/>
                <w:sz w:val="22"/>
                <w:szCs w:val="22"/>
                <w:lang w:val="sr-Cyrl-RS"/>
              </w:rPr>
              <w:t>(Активација семантичких оквира и прилагођеност метафоричких израза контексту)</w:t>
            </w:r>
          </w:p>
        </w:tc>
      </w:tr>
      <w:tr w:rsidR="00C2576E" w:rsidRPr="006B4F67" w14:paraId="23180FF2" w14:textId="77777777" w:rsidTr="007553DB">
        <w:trPr>
          <w:trHeight w:val="340"/>
          <w:jc w:val="center"/>
        </w:trPr>
        <w:tc>
          <w:tcPr>
            <w:tcW w:w="2337" w:type="dxa"/>
            <w:gridSpan w:val="2"/>
            <w:shd w:val="clear" w:color="auto" w:fill="F3F3F3"/>
            <w:vAlign w:val="center"/>
          </w:tcPr>
          <w:p w14:paraId="0958B41F" w14:textId="77777777" w:rsidR="00C2576E" w:rsidRPr="006B4F67" w:rsidRDefault="00C2576E" w:rsidP="00C2576E">
            <w:pPr>
              <w:rPr>
                <w:sz w:val="18"/>
                <w:szCs w:val="18"/>
                <w:lang w:val="sr-Cyrl-RS"/>
              </w:rPr>
            </w:pPr>
            <w:r w:rsidRPr="006B4F67">
              <w:rPr>
                <w:rFonts w:eastAsia="TimesNewRomanPS-BoldMT"/>
                <w:sz w:val="18"/>
                <w:szCs w:val="18"/>
                <w:lang w:val="sr-Cyrl-RS"/>
              </w:rPr>
              <w:t>Име и презиме ментора, звање</w:t>
            </w:r>
          </w:p>
        </w:tc>
        <w:tc>
          <w:tcPr>
            <w:tcW w:w="8544" w:type="dxa"/>
            <w:gridSpan w:val="10"/>
            <w:vAlign w:val="center"/>
          </w:tcPr>
          <w:p w14:paraId="2B02BCF7" w14:textId="77777777" w:rsidR="00C2576E" w:rsidRPr="006B4F67" w:rsidRDefault="002D3238" w:rsidP="00C2576E">
            <w:pPr>
              <w:rPr>
                <w:sz w:val="22"/>
                <w:szCs w:val="22"/>
                <w:lang w:val="sr-Cyrl-RS"/>
              </w:rPr>
            </w:pPr>
            <w:r w:rsidRPr="006B4F67">
              <w:rPr>
                <w:sz w:val="22"/>
                <w:szCs w:val="22"/>
                <w:lang w:val="sr-Cyrl-RS"/>
              </w:rPr>
              <w:t>Душан Стаменковић, доктор филолошких наука, ванредни професор</w:t>
            </w:r>
          </w:p>
        </w:tc>
      </w:tr>
      <w:tr w:rsidR="00C2576E" w:rsidRPr="006B4F67" w14:paraId="1982F62F" w14:textId="77777777" w:rsidTr="007553DB">
        <w:trPr>
          <w:trHeight w:val="340"/>
          <w:jc w:val="center"/>
        </w:trPr>
        <w:tc>
          <w:tcPr>
            <w:tcW w:w="2337" w:type="dxa"/>
            <w:gridSpan w:val="2"/>
            <w:shd w:val="clear" w:color="auto" w:fill="F3F3F3"/>
            <w:vAlign w:val="center"/>
          </w:tcPr>
          <w:p w14:paraId="6D2883F0" w14:textId="77777777" w:rsidR="00C2576E" w:rsidRPr="006B4F67" w:rsidRDefault="00C2576E" w:rsidP="00C2576E">
            <w:pPr>
              <w:rPr>
                <w:sz w:val="18"/>
                <w:szCs w:val="18"/>
                <w:lang w:val="sr-Cyrl-RS"/>
              </w:rPr>
            </w:pPr>
            <w:r w:rsidRPr="006B4F67">
              <w:rPr>
                <w:sz w:val="18"/>
                <w:szCs w:val="18"/>
                <w:lang w:val="sr-Cyrl-RS"/>
              </w:rPr>
              <w:t>Број и датум добијања сагласности за тему докторске дисертације</w:t>
            </w:r>
          </w:p>
        </w:tc>
        <w:tc>
          <w:tcPr>
            <w:tcW w:w="8544" w:type="dxa"/>
            <w:gridSpan w:val="10"/>
            <w:vAlign w:val="center"/>
          </w:tcPr>
          <w:p w14:paraId="465A83E6" w14:textId="075DB124" w:rsidR="00C2576E" w:rsidRPr="006B4F67" w:rsidRDefault="002D3238" w:rsidP="00C2576E">
            <w:pPr>
              <w:rPr>
                <w:sz w:val="22"/>
                <w:szCs w:val="22"/>
                <w:lang w:val="sr-Cyrl-RS"/>
              </w:rPr>
            </w:pPr>
            <w:r w:rsidRPr="006B4F67">
              <w:rPr>
                <w:sz w:val="22"/>
                <w:szCs w:val="22"/>
                <w:lang w:val="sr-Cyrl-RS"/>
              </w:rPr>
              <w:t>HCB 6poj 8/18-01-00</w:t>
            </w:r>
            <w:r w:rsidR="00302866" w:rsidRPr="006B4F67">
              <w:rPr>
                <w:sz w:val="22"/>
                <w:szCs w:val="22"/>
                <w:lang w:val="sr-Cyrl-RS"/>
              </w:rPr>
              <w:t>8</w:t>
            </w:r>
            <w:r w:rsidRPr="006B4F67">
              <w:rPr>
                <w:sz w:val="22"/>
                <w:szCs w:val="22"/>
                <w:lang w:val="sr-Cyrl-RS"/>
              </w:rPr>
              <w:t>/20-02</w:t>
            </w:r>
            <w:r w:rsidR="00302866" w:rsidRPr="006B4F67">
              <w:rPr>
                <w:sz w:val="22"/>
                <w:szCs w:val="22"/>
                <w:lang w:val="sr-Cyrl-RS"/>
              </w:rPr>
              <w:t>7</w:t>
            </w:r>
            <w:r w:rsidRPr="006B4F67">
              <w:rPr>
                <w:sz w:val="22"/>
                <w:szCs w:val="22"/>
                <w:lang w:val="sr-Cyrl-RS"/>
              </w:rPr>
              <w:t xml:space="preserve">, </w:t>
            </w:r>
            <w:r w:rsidR="00302866" w:rsidRPr="006B4F67">
              <w:rPr>
                <w:sz w:val="22"/>
                <w:szCs w:val="22"/>
                <w:lang w:val="sr-Cyrl-RS"/>
              </w:rPr>
              <w:t>26</w:t>
            </w:r>
            <w:r w:rsidRPr="006B4F67">
              <w:rPr>
                <w:sz w:val="22"/>
                <w:szCs w:val="22"/>
                <w:lang w:val="sr-Cyrl-RS"/>
              </w:rPr>
              <w:t xml:space="preserve">. </w:t>
            </w:r>
            <w:r w:rsidR="00302866" w:rsidRPr="006B4F67">
              <w:rPr>
                <w:sz w:val="22"/>
                <w:szCs w:val="22"/>
                <w:lang w:val="sr-Cyrl-RS"/>
              </w:rPr>
              <w:t>10</w:t>
            </w:r>
            <w:r w:rsidRPr="006B4F67">
              <w:rPr>
                <w:sz w:val="22"/>
                <w:szCs w:val="22"/>
                <w:lang w:val="sr-Cyrl-RS"/>
              </w:rPr>
              <w:t>. 2020.</w:t>
            </w:r>
            <w:r w:rsidR="00302866" w:rsidRPr="006B4F67">
              <w:rPr>
                <w:sz w:val="22"/>
                <w:szCs w:val="22"/>
                <w:lang w:val="sr-Cyrl-RS"/>
              </w:rPr>
              <w:t xml:space="preserve"> године</w:t>
            </w:r>
          </w:p>
        </w:tc>
      </w:tr>
      <w:tr w:rsidR="002E4CE3" w:rsidRPr="006B4F67" w14:paraId="2226B10F" w14:textId="77777777" w:rsidTr="00743CA1">
        <w:trPr>
          <w:trHeight w:val="340"/>
          <w:jc w:val="center"/>
        </w:trPr>
        <w:tc>
          <w:tcPr>
            <w:tcW w:w="10881" w:type="dxa"/>
            <w:gridSpan w:val="12"/>
            <w:shd w:val="clear" w:color="auto" w:fill="D9D9D9"/>
            <w:vAlign w:val="center"/>
          </w:tcPr>
          <w:p w14:paraId="502B2491" w14:textId="77777777" w:rsidR="002E4CE3" w:rsidRPr="006B4F67" w:rsidRDefault="002E4CE3" w:rsidP="00FD6227">
            <w:pPr>
              <w:jc w:val="center"/>
              <w:rPr>
                <w:b/>
                <w:lang w:val="sr-Cyrl-RS"/>
              </w:rPr>
            </w:pPr>
            <w:r w:rsidRPr="006B4F67">
              <w:rPr>
                <w:b/>
                <w:lang w:val="sr-Cyrl-RS"/>
              </w:rPr>
              <w:t xml:space="preserve">ПРЕГЛЕД </w:t>
            </w:r>
            <w:r w:rsidRPr="006B4F67">
              <w:rPr>
                <w:rFonts w:eastAsia="TimesNewRomanPS-BoldMT"/>
                <w:b/>
                <w:lang w:val="sr-Cyrl-RS"/>
              </w:rPr>
              <w:t>ДОКТОРСКЕ ДИСЕРТАЦИЈЕ</w:t>
            </w:r>
            <w:r w:rsidRPr="006B4F67">
              <w:rPr>
                <w:b/>
                <w:lang w:val="sr-Cyrl-RS"/>
              </w:rPr>
              <w:t xml:space="preserve"> </w:t>
            </w:r>
          </w:p>
        </w:tc>
      </w:tr>
      <w:tr w:rsidR="002E4CE3" w:rsidRPr="006B4F67" w14:paraId="415D5D4B" w14:textId="77777777" w:rsidTr="007553DB">
        <w:trPr>
          <w:trHeight w:val="340"/>
          <w:jc w:val="center"/>
        </w:trPr>
        <w:tc>
          <w:tcPr>
            <w:tcW w:w="2517" w:type="dxa"/>
            <w:gridSpan w:val="3"/>
            <w:shd w:val="clear" w:color="auto" w:fill="F3F3F3"/>
            <w:vAlign w:val="center"/>
          </w:tcPr>
          <w:p w14:paraId="416352E2" w14:textId="77777777" w:rsidR="002E4CE3" w:rsidRPr="006B4F67" w:rsidRDefault="002E4CE3" w:rsidP="002E4CE3">
            <w:pPr>
              <w:rPr>
                <w:sz w:val="18"/>
                <w:szCs w:val="18"/>
                <w:lang w:val="sr-Cyrl-RS"/>
              </w:rPr>
            </w:pPr>
            <w:r w:rsidRPr="006B4F67">
              <w:rPr>
                <w:rFonts w:eastAsia="TimesNewRomanPS-BoldMT"/>
                <w:sz w:val="18"/>
                <w:szCs w:val="18"/>
                <w:lang w:val="sr-Cyrl-RS"/>
              </w:rPr>
              <w:t>Број страна</w:t>
            </w:r>
          </w:p>
        </w:tc>
        <w:tc>
          <w:tcPr>
            <w:tcW w:w="8364" w:type="dxa"/>
            <w:gridSpan w:val="9"/>
            <w:vAlign w:val="center"/>
          </w:tcPr>
          <w:p w14:paraId="1A6F780D" w14:textId="03CE1668" w:rsidR="002E4CE3" w:rsidRPr="006B4F67" w:rsidRDefault="00824A6D" w:rsidP="002E4CE3">
            <w:pPr>
              <w:rPr>
                <w:sz w:val="22"/>
                <w:szCs w:val="22"/>
                <w:lang w:val="sr-Cyrl-RS"/>
              </w:rPr>
            </w:pPr>
            <w:r w:rsidRPr="006B4F67">
              <w:rPr>
                <w:sz w:val="22"/>
                <w:szCs w:val="22"/>
                <w:lang w:val="sr-Cyrl-RS"/>
              </w:rPr>
              <w:t>521</w:t>
            </w:r>
          </w:p>
        </w:tc>
      </w:tr>
      <w:tr w:rsidR="002E4CE3" w:rsidRPr="006B4F67" w14:paraId="76564EBE" w14:textId="77777777" w:rsidTr="007553DB">
        <w:trPr>
          <w:trHeight w:val="340"/>
          <w:jc w:val="center"/>
        </w:trPr>
        <w:tc>
          <w:tcPr>
            <w:tcW w:w="2517" w:type="dxa"/>
            <w:gridSpan w:val="3"/>
            <w:shd w:val="clear" w:color="auto" w:fill="F3F3F3"/>
            <w:vAlign w:val="center"/>
          </w:tcPr>
          <w:p w14:paraId="35D0E688" w14:textId="77777777" w:rsidR="002E4CE3" w:rsidRPr="006B4F67" w:rsidRDefault="002E4CE3" w:rsidP="002E4CE3">
            <w:pPr>
              <w:rPr>
                <w:sz w:val="18"/>
                <w:szCs w:val="18"/>
                <w:lang w:val="sr-Cyrl-RS"/>
              </w:rPr>
            </w:pPr>
            <w:r w:rsidRPr="006B4F67">
              <w:rPr>
                <w:rFonts w:eastAsia="TimesNewRomanPS-BoldMT"/>
                <w:sz w:val="18"/>
                <w:szCs w:val="18"/>
                <w:lang w:val="sr-Cyrl-RS"/>
              </w:rPr>
              <w:t>Број поглавља</w:t>
            </w:r>
          </w:p>
        </w:tc>
        <w:tc>
          <w:tcPr>
            <w:tcW w:w="8364" w:type="dxa"/>
            <w:gridSpan w:val="9"/>
            <w:vAlign w:val="center"/>
          </w:tcPr>
          <w:p w14:paraId="2A28B28B" w14:textId="77777777" w:rsidR="002E4CE3" w:rsidRPr="006B4F67" w:rsidRDefault="002D3238" w:rsidP="002E4CE3">
            <w:pPr>
              <w:rPr>
                <w:sz w:val="22"/>
                <w:szCs w:val="22"/>
                <w:lang w:val="sr-Cyrl-RS"/>
              </w:rPr>
            </w:pPr>
            <w:r w:rsidRPr="006B4F67">
              <w:rPr>
                <w:sz w:val="22"/>
                <w:szCs w:val="22"/>
                <w:lang w:val="sr-Cyrl-RS"/>
              </w:rPr>
              <w:t>7</w:t>
            </w:r>
          </w:p>
        </w:tc>
      </w:tr>
      <w:tr w:rsidR="002E4CE3" w:rsidRPr="006B4F67" w14:paraId="4B9FCB11" w14:textId="77777777" w:rsidTr="007553DB">
        <w:trPr>
          <w:trHeight w:val="340"/>
          <w:jc w:val="center"/>
        </w:trPr>
        <w:tc>
          <w:tcPr>
            <w:tcW w:w="2517" w:type="dxa"/>
            <w:gridSpan w:val="3"/>
            <w:shd w:val="clear" w:color="auto" w:fill="F3F3F3"/>
            <w:vAlign w:val="center"/>
          </w:tcPr>
          <w:p w14:paraId="6817BD77" w14:textId="77777777" w:rsidR="002E4CE3" w:rsidRPr="006B4F67" w:rsidRDefault="002E4CE3" w:rsidP="002E4CE3">
            <w:pPr>
              <w:rPr>
                <w:sz w:val="18"/>
                <w:szCs w:val="18"/>
                <w:lang w:val="sr-Cyrl-RS"/>
              </w:rPr>
            </w:pPr>
            <w:r w:rsidRPr="006B4F67">
              <w:rPr>
                <w:rFonts w:eastAsia="TimesNewRomanPS-BoldMT"/>
                <w:sz w:val="18"/>
                <w:szCs w:val="18"/>
                <w:lang w:val="sr-Cyrl-RS"/>
              </w:rPr>
              <w:t>Број слика (шема, графикона)</w:t>
            </w:r>
          </w:p>
        </w:tc>
        <w:tc>
          <w:tcPr>
            <w:tcW w:w="8364" w:type="dxa"/>
            <w:gridSpan w:val="9"/>
            <w:vAlign w:val="center"/>
          </w:tcPr>
          <w:p w14:paraId="71CC748A" w14:textId="1264319C" w:rsidR="002E4CE3" w:rsidRPr="006B4F67" w:rsidRDefault="00824A6D" w:rsidP="002E4CE3">
            <w:pPr>
              <w:rPr>
                <w:sz w:val="22"/>
                <w:szCs w:val="22"/>
                <w:lang w:val="sr-Cyrl-RS"/>
              </w:rPr>
            </w:pPr>
            <w:r w:rsidRPr="006B4F67">
              <w:rPr>
                <w:sz w:val="22"/>
                <w:szCs w:val="22"/>
                <w:lang w:val="sr-Cyrl-RS"/>
              </w:rPr>
              <w:t>43</w:t>
            </w:r>
          </w:p>
        </w:tc>
      </w:tr>
      <w:tr w:rsidR="002E4CE3" w:rsidRPr="006B4F67" w14:paraId="2E23F765" w14:textId="77777777" w:rsidTr="007553DB">
        <w:trPr>
          <w:trHeight w:val="340"/>
          <w:jc w:val="center"/>
        </w:trPr>
        <w:tc>
          <w:tcPr>
            <w:tcW w:w="2517" w:type="dxa"/>
            <w:gridSpan w:val="3"/>
            <w:shd w:val="clear" w:color="auto" w:fill="F3F3F3"/>
            <w:vAlign w:val="center"/>
          </w:tcPr>
          <w:p w14:paraId="4C3E2B9C" w14:textId="77777777" w:rsidR="002E4CE3" w:rsidRPr="006B4F67" w:rsidRDefault="002E4CE3" w:rsidP="002E4CE3">
            <w:pPr>
              <w:rPr>
                <w:sz w:val="18"/>
                <w:szCs w:val="18"/>
                <w:lang w:val="sr-Cyrl-RS"/>
              </w:rPr>
            </w:pPr>
            <w:r w:rsidRPr="006B4F67">
              <w:rPr>
                <w:rFonts w:eastAsia="TimesNewRomanPS-BoldMT"/>
                <w:sz w:val="18"/>
                <w:szCs w:val="18"/>
                <w:lang w:val="sr-Cyrl-RS"/>
              </w:rPr>
              <w:t>Број табела</w:t>
            </w:r>
          </w:p>
        </w:tc>
        <w:tc>
          <w:tcPr>
            <w:tcW w:w="8364" w:type="dxa"/>
            <w:gridSpan w:val="9"/>
            <w:vAlign w:val="center"/>
          </w:tcPr>
          <w:p w14:paraId="081BD0BF" w14:textId="70864D0B" w:rsidR="002E4CE3" w:rsidRPr="006B4F67" w:rsidRDefault="00824A6D" w:rsidP="002E4CE3">
            <w:pPr>
              <w:rPr>
                <w:sz w:val="22"/>
                <w:szCs w:val="22"/>
                <w:lang w:val="sr-Cyrl-RS"/>
              </w:rPr>
            </w:pPr>
            <w:r w:rsidRPr="006B4F67">
              <w:rPr>
                <w:sz w:val="22"/>
                <w:szCs w:val="22"/>
                <w:lang w:val="sr-Cyrl-RS"/>
              </w:rPr>
              <w:t>51</w:t>
            </w:r>
          </w:p>
        </w:tc>
      </w:tr>
      <w:tr w:rsidR="002E4CE3" w:rsidRPr="006B4F67" w14:paraId="25F2297A" w14:textId="77777777" w:rsidTr="007553DB">
        <w:trPr>
          <w:trHeight w:val="340"/>
          <w:jc w:val="center"/>
        </w:trPr>
        <w:tc>
          <w:tcPr>
            <w:tcW w:w="2517" w:type="dxa"/>
            <w:gridSpan w:val="3"/>
            <w:shd w:val="clear" w:color="auto" w:fill="F3F3F3"/>
            <w:vAlign w:val="center"/>
          </w:tcPr>
          <w:p w14:paraId="34D6A686" w14:textId="77777777" w:rsidR="002E4CE3" w:rsidRPr="006B4F67" w:rsidRDefault="002E4CE3" w:rsidP="002E4CE3">
            <w:pPr>
              <w:rPr>
                <w:sz w:val="18"/>
                <w:szCs w:val="18"/>
                <w:lang w:val="sr-Cyrl-RS"/>
              </w:rPr>
            </w:pPr>
            <w:r w:rsidRPr="006B4F67">
              <w:rPr>
                <w:rFonts w:eastAsia="TimesNewRomanPS-BoldMT"/>
                <w:sz w:val="18"/>
                <w:szCs w:val="18"/>
                <w:lang w:val="sr-Cyrl-RS"/>
              </w:rPr>
              <w:t>Број прилога</w:t>
            </w:r>
          </w:p>
        </w:tc>
        <w:tc>
          <w:tcPr>
            <w:tcW w:w="8364" w:type="dxa"/>
            <w:gridSpan w:val="9"/>
            <w:vAlign w:val="center"/>
          </w:tcPr>
          <w:p w14:paraId="29BF2B70" w14:textId="4C30A721" w:rsidR="002E4CE3" w:rsidRPr="006B4F67" w:rsidRDefault="00824A6D" w:rsidP="002E4CE3">
            <w:pPr>
              <w:rPr>
                <w:sz w:val="22"/>
                <w:szCs w:val="22"/>
                <w:lang w:val="sr-Cyrl-RS"/>
              </w:rPr>
            </w:pPr>
            <w:r w:rsidRPr="006B4F67">
              <w:rPr>
                <w:sz w:val="22"/>
                <w:szCs w:val="22"/>
                <w:lang w:val="sr-Cyrl-RS"/>
              </w:rPr>
              <w:t>3</w:t>
            </w:r>
          </w:p>
        </w:tc>
      </w:tr>
      <w:tr w:rsidR="00A775DA" w:rsidRPr="006B4F67" w14:paraId="1AC4F6EF" w14:textId="77777777" w:rsidTr="00743CA1">
        <w:trPr>
          <w:trHeight w:val="340"/>
          <w:jc w:val="center"/>
        </w:trPr>
        <w:tc>
          <w:tcPr>
            <w:tcW w:w="10881" w:type="dxa"/>
            <w:gridSpan w:val="12"/>
            <w:shd w:val="clear" w:color="auto" w:fill="D9D9D9"/>
            <w:vAlign w:val="center"/>
          </w:tcPr>
          <w:p w14:paraId="7CE06229" w14:textId="77777777" w:rsidR="00A775DA" w:rsidRPr="006B4F67" w:rsidRDefault="00E273C3" w:rsidP="00FD6227">
            <w:pPr>
              <w:jc w:val="center"/>
              <w:rPr>
                <w:rFonts w:eastAsia="TimesNewRomanPS-BoldMT"/>
                <w:b/>
                <w:lang w:val="sr-Cyrl-RS"/>
              </w:rPr>
            </w:pPr>
            <w:r w:rsidRPr="006B4F67">
              <w:rPr>
                <w:rFonts w:eastAsia="TimesNewRomanPS-BoldMT"/>
                <w:b/>
                <w:lang w:val="sr-Cyrl-RS"/>
              </w:rPr>
              <w:lastRenderedPageBreak/>
              <w:t>ПРИКАЗ НАУЧНИХ И СТРУЧНИХ РАДОВА</w:t>
            </w:r>
            <w:r w:rsidR="002E4CE3" w:rsidRPr="006B4F67">
              <w:rPr>
                <w:rFonts w:eastAsia="TimesNewRomanPS-BoldMT"/>
                <w:b/>
                <w:lang w:val="sr-Cyrl-RS"/>
              </w:rPr>
              <w:t xml:space="preserve"> КАНДИДАТА</w:t>
            </w:r>
          </w:p>
          <w:p w14:paraId="4722BD4C" w14:textId="77777777" w:rsidR="002E4CE3" w:rsidRPr="006B4F67" w:rsidRDefault="002E4CE3" w:rsidP="00FD6227">
            <w:pPr>
              <w:jc w:val="center"/>
              <w:rPr>
                <w:rFonts w:eastAsia="TimesNewRomanPS-BoldMT"/>
                <w:b/>
                <w:lang w:val="sr-Cyrl-RS"/>
              </w:rPr>
            </w:pPr>
            <w:r w:rsidRPr="006B4F67">
              <w:rPr>
                <w:rFonts w:eastAsia="TimesNewRomanPS-BoldMT"/>
                <w:b/>
                <w:lang w:val="sr-Cyrl-RS"/>
              </w:rPr>
              <w:t>који садрже резултате истраживања у оквиру докторске дисертације</w:t>
            </w:r>
          </w:p>
        </w:tc>
      </w:tr>
      <w:tr w:rsidR="00E273C3" w:rsidRPr="006B4F67" w14:paraId="35E5CCC4" w14:textId="77777777" w:rsidTr="007553DB">
        <w:trPr>
          <w:trHeight w:val="340"/>
          <w:jc w:val="center"/>
        </w:trPr>
        <w:tc>
          <w:tcPr>
            <w:tcW w:w="539" w:type="dxa"/>
            <w:shd w:val="clear" w:color="auto" w:fill="F3F3F3"/>
            <w:vAlign w:val="center"/>
          </w:tcPr>
          <w:p w14:paraId="1141FF00" w14:textId="77777777" w:rsidR="00E273C3" w:rsidRPr="006B4F67" w:rsidRDefault="00E273C3" w:rsidP="00FD6227">
            <w:pPr>
              <w:jc w:val="center"/>
              <w:rPr>
                <w:b/>
                <w:sz w:val="18"/>
                <w:szCs w:val="18"/>
                <w:lang w:val="sr-Cyrl-RS"/>
              </w:rPr>
            </w:pPr>
            <w:r w:rsidRPr="006B4F67">
              <w:rPr>
                <w:b/>
                <w:sz w:val="18"/>
                <w:szCs w:val="18"/>
                <w:lang w:val="sr-Cyrl-RS"/>
              </w:rPr>
              <w:t>Р. бр.</w:t>
            </w:r>
          </w:p>
        </w:tc>
        <w:tc>
          <w:tcPr>
            <w:tcW w:w="9179" w:type="dxa"/>
            <w:gridSpan w:val="8"/>
            <w:vAlign w:val="center"/>
          </w:tcPr>
          <w:p w14:paraId="2BE0641D" w14:textId="77777777" w:rsidR="00E273C3" w:rsidRPr="006B4F67" w:rsidRDefault="00E273C3" w:rsidP="00FD6227">
            <w:pPr>
              <w:jc w:val="center"/>
              <w:rPr>
                <w:b/>
                <w:sz w:val="18"/>
                <w:szCs w:val="18"/>
                <w:lang w:val="sr-Cyrl-RS"/>
              </w:rPr>
            </w:pPr>
            <w:r w:rsidRPr="006B4F67">
              <w:rPr>
                <w:b/>
                <w:sz w:val="18"/>
                <w:szCs w:val="18"/>
                <w:lang w:val="sr-Cyrl-RS"/>
              </w:rPr>
              <w:t>Аутор-и, наслов, часопис, година, број волумена, странице</w:t>
            </w:r>
          </w:p>
        </w:tc>
        <w:tc>
          <w:tcPr>
            <w:tcW w:w="1163" w:type="dxa"/>
            <w:gridSpan w:val="3"/>
            <w:vAlign w:val="center"/>
          </w:tcPr>
          <w:p w14:paraId="5A6D8074" w14:textId="77777777" w:rsidR="00E273C3" w:rsidRPr="006B4F67" w:rsidRDefault="00E273C3" w:rsidP="00FD6227">
            <w:pPr>
              <w:jc w:val="center"/>
              <w:rPr>
                <w:b/>
                <w:sz w:val="18"/>
                <w:szCs w:val="18"/>
                <w:lang w:val="sr-Cyrl-RS"/>
              </w:rPr>
            </w:pPr>
            <w:r w:rsidRPr="006B4F67">
              <w:rPr>
                <w:b/>
                <w:sz w:val="18"/>
                <w:szCs w:val="18"/>
                <w:lang w:val="sr-Cyrl-RS"/>
              </w:rPr>
              <w:t>Категорија</w:t>
            </w:r>
          </w:p>
        </w:tc>
      </w:tr>
      <w:tr w:rsidR="00592963" w:rsidRPr="006B4F67" w14:paraId="61213645" w14:textId="77777777" w:rsidTr="00824A6D">
        <w:trPr>
          <w:trHeight w:val="340"/>
          <w:jc w:val="center"/>
        </w:trPr>
        <w:tc>
          <w:tcPr>
            <w:tcW w:w="539" w:type="dxa"/>
            <w:vMerge w:val="restart"/>
            <w:shd w:val="clear" w:color="auto" w:fill="F3F3F3"/>
            <w:vAlign w:val="center"/>
          </w:tcPr>
          <w:p w14:paraId="4BED40E3" w14:textId="77777777" w:rsidR="00592963" w:rsidRPr="006B4F67" w:rsidRDefault="005F098D" w:rsidP="00FD6227">
            <w:pPr>
              <w:jc w:val="center"/>
              <w:rPr>
                <w:sz w:val="18"/>
                <w:szCs w:val="18"/>
                <w:lang w:val="sr-Cyrl-RS"/>
              </w:rPr>
            </w:pPr>
            <w:r w:rsidRPr="006B4F67">
              <w:rPr>
                <w:sz w:val="18"/>
                <w:szCs w:val="18"/>
                <w:lang w:val="sr-Cyrl-RS"/>
              </w:rPr>
              <w:t>1</w:t>
            </w:r>
          </w:p>
        </w:tc>
        <w:tc>
          <w:tcPr>
            <w:tcW w:w="9179" w:type="dxa"/>
            <w:gridSpan w:val="8"/>
            <w:vAlign w:val="center"/>
          </w:tcPr>
          <w:p w14:paraId="67DF1B74" w14:textId="7D68840E" w:rsidR="00592963" w:rsidRPr="006B4F67" w:rsidRDefault="00302866" w:rsidP="000B58B1">
            <w:pPr>
              <w:jc w:val="both"/>
              <w:rPr>
                <w:lang w:val="sr-Cyrl-RS"/>
              </w:rPr>
            </w:pPr>
            <w:r w:rsidRPr="006B4F67">
              <w:rPr>
                <w:b/>
                <w:bCs/>
                <w:sz w:val="22"/>
                <w:szCs w:val="22"/>
                <w:lang w:val="sr-Cyrl-RS"/>
              </w:rPr>
              <w:t>Figar, Vladimir</w:t>
            </w:r>
            <w:r w:rsidRPr="006B4F67">
              <w:rPr>
                <w:sz w:val="22"/>
                <w:szCs w:val="22"/>
                <w:lang w:val="sr-Cyrl-RS"/>
              </w:rPr>
              <w:t xml:space="preserve">, Testing the Activation of Semantic Frames in a Lexical Decision and a Categorization Task, </w:t>
            </w:r>
            <w:r w:rsidRPr="006B4F67">
              <w:rPr>
                <w:i/>
                <w:sz w:val="22"/>
                <w:szCs w:val="22"/>
                <w:lang w:val="sr-Cyrl-RS"/>
              </w:rPr>
              <w:t xml:space="preserve">Facta Universitatis, Series: Linguistics and Literature, </w:t>
            </w:r>
            <w:r w:rsidRPr="006B4F67">
              <w:rPr>
                <w:iCs/>
                <w:sz w:val="22"/>
                <w:szCs w:val="22"/>
                <w:lang w:val="sr-Cyrl-RS"/>
              </w:rPr>
              <w:t>2020,</w:t>
            </w:r>
            <w:r w:rsidRPr="006B4F67">
              <w:rPr>
                <w:i/>
                <w:sz w:val="22"/>
                <w:szCs w:val="22"/>
                <w:lang w:val="sr-Cyrl-RS"/>
              </w:rPr>
              <w:t xml:space="preserve"> 18</w:t>
            </w:r>
            <w:r w:rsidRPr="006B4F67">
              <w:rPr>
                <w:iCs/>
                <w:sz w:val="22"/>
                <w:szCs w:val="22"/>
                <w:lang w:val="sr-Cyrl-RS"/>
              </w:rPr>
              <w:t>(2), pp. 159–179.</w:t>
            </w:r>
          </w:p>
        </w:tc>
        <w:tc>
          <w:tcPr>
            <w:tcW w:w="1163" w:type="dxa"/>
            <w:gridSpan w:val="3"/>
            <w:vMerge w:val="restart"/>
            <w:vAlign w:val="center"/>
          </w:tcPr>
          <w:p w14:paraId="752D2CEB" w14:textId="77777777" w:rsidR="00592963" w:rsidRPr="006B4F67" w:rsidRDefault="000C09B1" w:rsidP="00824A6D">
            <w:pPr>
              <w:jc w:val="center"/>
              <w:rPr>
                <w:sz w:val="22"/>
                <w:szCs w:val="22"/>
                <w:lang w:val="sr-Cyrl-RS"/>
              </w:rPr>
            </w:pPr>
            <w:r w:rsidRPr="006B4F67">
              <w:rPr>
                <w:sz w:val="22"/>
                <w:szCs w:val="22"/>
                <w:lang w:val="sr-Cyrl-RS"/>
              </w:rPr>
              <w:t>М51</w:t>
            </w:r>
          </w:p>
        </w:tc>
      </w:tr>
      <w:tr w:rsidR="00901094" w:rsidRPr="006B4F67" w14:paraId="3DFA2846" w14:textId="77777777" w:rsidTr="00824A6D">
        <w:trPr>
          <w:trHeight w:val="357"/>
          <w:jc w:val="center"/>
        </w:trPr>
        <w:tc>
          <w:tcPr>
            <w:tcW w:w="539" w:type="dxa"/>
            <w:vMerge/>
            <w:shd w:val="clear" w:color="auto" w:fill="F3F3F3"/>
            <w:vAlign w:val="center"/>
          </w:tcPr>
          <w:p w14:paraId="522BDB7E" w14:textId="77777777" w:rsidR="00901094" w:rsidRPr="006B4F67" w:rsidRDefault="00901094" w:rsidP="00901094">
            <w:pPr>
              <w:jc w:val="center"/>
              <w:rPr>
                <w:sz w:val="18"/>
                <w:szCs w:val="18"/>
                <w:lang w:val="sr-Cyrl-RS"/>
              </w:rPr>
            </w:pPr>
          </w:p>
        </w:tc>
        <w:tc>
          <w:tcPr>
            <w:tcW w:w="9179" w:type="dxa"/>
            <w:gridSpan w:val="8"/>
          </w:tcPr>
          <w:p w14:paraId="77905639" w14:textId="3E42F9CA" w:rsidR="00901094" w:rsidRPr="006B4F67" w:rsidRDefault="00C549EE" w:rsidP="00901094">
            <w:pPr>
              <w:jc w:val="both"/>
              <w:rPr>
                <w:iCs/>
                <w:sz w:val="22"/>
                <w:szCs w:val="22"/>
                <w:lang w:val="sr-Cyrl-RS"/>
              </w:rPr>
            </w:pPr>
            <w:r w:rsidRPr="006B4F67">
              <w:rPr>
                <w:iCs/>
                <w:sz w:val="22"/>
                <w:szCs w:val="22"/>
                <w:lang w:val="sr-Cyrl-RS"/>
              </w:rPr>
              <w:t>Рад полази од теоријског оквира семантике оквира Чарлса Филмора и користи емпиријски приступ заснован на мерењу времена реакције, чиме испитује утицај примовања на активацију семантичких оквира. У првој процедури тестира се оквир ПУТОВАЊА, кроз мерење времена реакције у задатку лексичке одлуке, а у другом оквир КОНФЛИКТА, кроз мерење времена реакције у задатку категоризације. Примовање је спроведено употребом семантичког материјала модификованог како би довео до активације сваког од два циљна оквирна. Резултати нису показали очекивану активацију у експерименталној групи у првом експерименту, у односу на контролну групу, док је у другом експерименту забележена очекивана активација. Ово указује да је задатак лексичке одлуке лакши у поређењу са задатком категоризације. Задатак категоризације се показао као поузданија процедура за тестирање активације семантичких оквира</w:t>
            </w:r>
          </w:p>
        </w:tc>
        <w:tc>
          <w:tcPr>
            <w:tcW w:w="1163" w:type="dxa"/>
            <w:gridSpan w:val="3"/>
            <w:vMerge/>
            <w:vAlign w:val="center"/>
          </w:tcPr>
          <w:p w14:paraId="7748C6A9" w14:textId="77777777" w:rsidR="00901094" w:rsidRPr="006B4F67" w:rsidRDefault="00901094" w:rsidP="00824A6D">
            <w:pPr>
              <w:jc w:val="center"/>
              <w:rPr>
                <w:sz w:val="22"/>
                <w:szCs w:val="22"/>
                <w:lang w:val="sr-Cyrl-RS"/>
              </w:rPr>
            </w:pPr>
          </w:p>
        </w:tc>
      </w:tr>
      <w:tr w:rsidR="00824A6D" w:rsidRPr="006B4F67" w14:paraId="04986118" w14:textId="77777777" w:rsidTr="00824A6D">
        <w:trPr>
          <w:trHeight w:val="340"/>
          <w:jc w:val="center"/>
        </w:trPr>
        <w:tc>
          <w:tcPr>
            <w:tcW w:w="539" w:type="dxa"/>
            <w:vMerge w:val="restart"/>
            <w:shd w:val="clear" w:color="auto" w:fill="F3F3F3"/>
            <w:vAlign w:val="center"/>
          </w:tcPr>
          <w:p w14:paraId="40E7C80B" w14:textId="77777777" w:rsidR="00824A6D" w:rsidRPr="006B4F67" w:rsidRDefault="00824A6D" w:rsidP="00824A6D">
            <w:pPr>
              <w:jc w:val="center"/>
              <w:rPr>
                <w:sz w:val="18"/>
                <w:szCs w:val="18"/>
                <w:lang w:val="sr-Cyrl-RS"/>
              </w:rPr>
            </w:pPr>
            <w:r w:rsidRPr="006B4F67">
              <w:rPr>
                <w:sz w:val="18"/>
                <w:szCs w:val="18"/>
                <w:lang w:val="sr-Cyrl-RS"/>
              </w:rPr>
              <w:t>2</w:t>
            </w:r>
          </w:p>
        </w:tc>
        <w:tc>
          <w:tcPr>
            <w:tcW w:w="9179" w:type="dxa"/>
            <w:gridSpan w:val="8"/>
            <w:vAlign w:val="center"/>
          </w:tcPr>
          <w:p w14:paraId="16F213D5" w14:textId="5E898B94" w:rsidR="00824A6D" w:rsidRPr="006B4F67" w:rsidRDefault="00824A6D" w:rsidP="00824A6D">
            <w:pPr>
              <w:rPr>
                <w:lang w:val="sr-Cyrl-RS"/>
              </w:rPr>
            </w:pPr>
            <w:r w:rsidRPr="006B4F67">
              <w:rPr>
                <w:b/>
                <w:bCs/>
                <w:sz w:val="22"/>
                <w:szCs w:val="22"/>
                <w:lang w:val="sr-Cyrl-RS"/>
              </w:rPr>
              <w:t>Figar, Vladimir</w:t>
            </w:r>
            <w:r w:rsidRPr="006B4F67">
              <w:rPr>
                <w:sz w:val="22"/>
                <w:szCs w:val="22"/>
                <w:lang w:val="sr-Cyrl-RS"/>
              </w:rPr>
              <w:t xml:space="preserve">, Evaluating the </w:t>
            </w:r>
            <w:r w:rsidR="00C549EE" w:rsidRPr="006B4F67">
              <w:rPr>
                <w:sz w:val="22"/>
                <w:szCs w:val="22"/>
                <w:lang w:val="sr-Cyrl-RS"/>
              </w:rPr>
              <w:t>“</w:t>
            </w:r>
            <w:r w:rsidRPr="006B4F67">
              <w:rPr>
                <w:sz w:val="22"/>
                <w:szCs w:val="22"/>
                <w:lang w:val="sr-Cyrl-RS"/>
              </w:rPr>
              <w:t>dynamics</w:t>
            </w:r>
            <w:r w:rsidR="00C549EE" w:rsidRPr="006B4F67">
              <w:rPr>
                <w:sz w:val="22"/>
                <w:szCs w:val="22"/>
                <w:lang w:val="sr-Cyrl-RS"/>
              </w:rPr>
              <w:t>”</w:t>
            </w:r>
            <w:r w:rsidRPr="006B4F67">
              <w:rPr>
                <w:sz w:val="22"/>
                <w:szCs w:val="22"/>
                <w:lang w:val="sr-Cyrl-RS"/>
              </w:rPr>
              <w:t xml:space="preserve"> of a metaphor cluster through the relevant dimensions of individual metaphorical expressions, </w:t>
            </w:r>
            <w:r w:rsidRPr="006B4F67">
              <w:rPr>
                <w:i/>
                <w:iCs/>
                <w:sz w:val="22"/>
                <w:szCs w:val="22"/>
                <w:lang w:val="sr-Cyrl-RS"/>
              </w:rPr>
              <w:t>Philologia Mediana</w:t>
            </w:r>
            <w:r w:rsidRPr="006B4F67">
              <w:rPr>
                <w:sz w:val="22"/>
                <w:szCs w:val="22"/>
                <w:lang w:val="sr-Cyrl-RS"/>
              </w:rPr>
              <w:t>, 2019, 11, pp. 233–248.</w:t>
            </w:r>
          </w:p>
        </w:tc>
        <w:tc>
          <w:tcPr>
            <w:tcW w:w="1163" w:type="dxa"/>
            <w:gridSpan w:val="3"/>
            <w:vMerge w:val="restart"/>
            <w:vAlign w:val="center"/>
          </w:tcPr>
          <w:p w14:paraId="5FEF90F1" w14:textId="50797FFC" w:rsidR="00824A6D" w:rsidRPr="006B4F67" w:rsidRDefault="00824A6D" w:rsidP="00824A6D">
            <w:pPr>
              <w:jc w:val="center"/>
              <w:rPr>
                <w:sz w:val="22"/>
                <w:szCs w:val="22"/>
                <w:lang w:val="sr-Cyrl-RS"/>
              </w:rPr>
            </w:pPr>
            <w:r w:rsidRPr="006B4F67">
              <w:rPr>
                <w:sz w:val="22"/>
                <w:szCs w:val="22"/>
                <w:lang w:val="sr-Cyrl-RS"/>
              </w:rPr>
              <w:t>М51</w:t>
            </w:r>
          </w:p>
        </w:tc>
      </w:tr>
      <w:tr w:rsidR="00824A6D" w:rsidRPr="006B4F67" w14:paraId="056062E8" w14:textId="77777777" w:rsidTr="00824A6D">
        <w:trPr>
          <w:trHeight w:val="357"/>
          <w:jc w:val="center"/>
        </w:trPr>
        <w:tc>
          <w:tcPr>
            <w:tcW w:w="539" w:type="dxa"/>
            <w:vMerge/>
            <w:shd w:val="clear" w:color="auto" w:fill="F3F3F3"/>
            <w:vAlign w:val="center"/>
          </w:tcPr>
          <w:p w14:paraId="64D18CA4" w14:textId="77777777" w:rsidR="00824A6D" w:rsidRPr="006B4F67" w:rsidRDefault="00824A6D" w:rsidP="00824A6D">
            <w:pPr>
              <w:jc w:val="center"/>
              <w:rPr>
                <w:sz w:val="18"/>
                <w:szCs w:val="18"/>
                <w:lang w:val="sr-Cyrl-RS"/>
              </w:rPr>
            </w:pPr>
          </w:p>
        </w:tc>
        <w:tc>
          <w:tcPr>
            <w:tcW w:w="9179" w:type="dxa"/>
            <w:gridSpan w:val="8"/>
          </w:tcPr>
          <w:p w14:paraId="560D4EE3" w14:textId="2E8AD5A2" w:rsidR="00824A6D" w:rsidRPr="006B4F67" w:rsidRDefault="00824A6D" w:rsidP="00824A6D">
            <w:pPr>
              <w:jc w:val="both"/>
              <w:rPr>
                <w:i/>
                <w:sz w:val="22"/>
                <w:szCs w:val="22"/>
                <w:lang w:val="sr-Cyrl-RS"/>
              </w:rPr>
            </w:pPr>
            <w:r w:rsidRPr="006B4F67">
              <w:rPr>
                <w:iCs/>
                <w:color w:val="000000"/>
                <w:sz w:val="22"/>
                <w:szCs w:val="22"/>
                <w:lang w:val="sr-Cyrl-RS"/>
              </w:rPr>
              <w:t>Истраживање приказано у овом раду</w:t>
            </w:r>
            <w:r w:rsidR="00C549EE" w:rsidRPr="006B4F67">
              <w:rPr>
                <w:lang w:val="sr-Cyrl-RS"/>
              </w:rPr>
              <w:t xml:space="preserve"> </w:t>
            </w:r>
            <w:r w:rsidR="00C549EE" w:rsidRPr="006B4F67">
              <w:rPr>
                <w:iCs/>
                <w:color w:val="000000"/>
                <w:sz w:val="22"/>
                <w:szCs w:val="22"/>
                <w:lang w:val="sr-Cyrl-RS"/>
              </w:rPr>
              <w:t xml:space="preserve">испитује динамику грозда метафора кроз оцену нивоа метафоричности, познатости, прилагођености контексту и значају за разумевање сваког од појединачних метафоричких израза. Истраживање је спроведено у две фазе, при чему је најпре спроведена квантитативна анализа корпуса, након чега је испитаницима дат упитник у којем су оцењивали циљне елементе према четири претходно уведене димензије. Најфреквентнији метафорички изрази у корпусу припадали су метафорама </w:t>
            </w:r>
            <w:r w:rsidR="00C549EE" w:rsidRPr="006B4F67">
              <w:rPr>
                <w:iCs/>
                <w:smallCaps/>
                <w:color w:val="000000"/>
                <w:sz w:val="22"/>
                <w:szCs w:val="22"/>
                <w:lang w:val="sr-Cyrl-RS"/>
              </w:rPr>
              <w:t>путовања, садржатеља</w:t>
            </w:r>
            <w:r w:rsidR="00C549EE" w:rsidRPr="006B4F67">
              <w:rPr>
                <w:iCs/>
                <w:color w:val="000000"/>
                <w:sz w:val="22"/>
                <w:szCs w:val="22"/>
                <w:lang w:val="sr-Cyrl-RS"/>
              </w:rPr>
              <w:t xml:space="preserve"> и </w:t>
            </w:r>
            <w:r w:rsidR="00C549EE" w:rsidRPr="006B4F67">
              <w:rPr>
                <w:iCs/>
                <w:smallCaps/>
                <w:color w:val="000000"/>
                <w:sz w:val="22"/>
                <w:szCs w:val="22"/>
                <w:lang w:val="sr-Cyrl-RS"/>
              </w:rPr>
              <w:t>конфликта</w:t>
            </w:r>
            <w:r w:rsidR="00C549EE" w:rsidRPr="006B4F67">
              <w:rPr>
                <w:iCs/>
                <w:color w:val="000000"/>
                <w:sz w:val="22"/>
                <w:szCs w:val="22"/>
                <w:lang w:val="sr-Cyrl-RS"/>
              </w:rPr>
              <w:t>. Утврђен је значајан ефекат за све четири димензије, а додатна поређења показала су значајне разлике између елемената. Резултати показују да се оцене метафоричности, познатости и значаја за разумевање могу поуздано користити како би се предвиделе оцене прилагођености контексту, а то даље указује на висок ниво динамике у анализираном грозду метафора.</w:t>
            </w:r>
          </w:p>
        </w:tc>
        <w:tc>
          <w:tcPr>
            <w:tcW w:w="1163" w:type="dxa"/>
            <w:gridSpan w:val="3"/>
            <w:vMerge/>
            <w:vAlign w:val="center"/>
          </w:tcPr>
          <w:p w14:paraId="5798361A" w14:textId="77777777" w:rsidR="00824A6D" w:rsidRPr="006B4F67" w:rsidRDefault="00824A6D" w:rsidP="00824A6D">
            <w:pPr>
              <w:jc w:val="center"/>
              <w:rPr>
                <w:sz w:val="22"/>
                <w:szCs w:val="22"/>
                <w:lang w:val="sr-Cyrl-RS"/>
              </w:rPr>
            </w:pPr>
          </w:p>
        </w:tc>
      </w:tr>
      <w:tr w:rsidR="00824A6D" w:rsidRPr="006B4F67" w14:paraId="6047EEF8" w14:textId="77777777" w:rsidTr="00824A6D">
        <w:trPr>
          <w:trHeight w:val="340"/>
          <w:jc w:val="center"/>
        </w:trPr>
        <w:tc>
          <w:tcPr>
            <w:tcW w:w="539" w:type="dxa"/>
            <w:vMerge w:val="restart"/>
            <w:shd w:val="clear" w:color="auto" w:fill="F3F3F3"/>
            <w:vAlign w:val="center"/>
          </w:tcPr>
          <w:p w14:paraId="5DBF217E" w14:textId="77777777" w:rsidR="00824A6D" w:rsidRPr="006B4F67" w:rsidRDefault="00824A6D" w:rsidP="00824A6D">
            <w:pPr>
              <w:jc w:val="center"/>
              <w:rPr>
                <w:sz w:val="18"/>
                <w:szCs w:val="18"/>
                <w:lang w:val="sr-Cyrl-RS"/>
              </w:rPr>
            </w:pPr>
            <w:r w:rsidRPr="006B4F67">
              <w:rPr>
                <w:sz w:val="18"/>
                <w:szCs w:val="18"/>
                <w:lang w:val="sr-Cyrl-RS"/>
              </w:rPr>
              <w:t>3</w:t>
            </w:r>
          </w:p>
        </w:tc>
        <w:tc>
          <w:tcPr>
            <w:tcW w:w="9179" w:type="dxa"/>
            <w:gridSpan w:val="8"/>
            <w:vAlign w:val="center"/>
          </w:tcPr>
          <w:p w14:paraId="0874B5FE" w14:textId="394CFCEF" w:rsidR="00824A6D" w:rsidRPr="006B4F67" w:rsidRDefault="00824A6D" w:rsidP="00824A6D">
            <w:pPr>
              <w:rPr>
                <w:lang w:val="sr-Cyrl-RS"/>
              </w:rPr>
            </w:pPr>
            <w:r w:rsidRPr="006B4F67">
              <w:rPr>
                <w:b/>
                <w:bCs/>
                <w:sz w:val="22"/>
                <w:szCs w:val="22"/>
                <w:lang w:val="sr-Cyrl-RS"/>
              </w:rPr>
              <w:t>Figar, Vladimir</w:t>
            </w:r>
            <w:r w:rsidRPr="006B4F67">
              <w:rPr>
                <w:sz w:val="22"/>
                <w:szCs w:val="22"/>
                <w:lang w:val="sr-Cyrl-RS"/>
              </w:rPr>
              <w:t xml:space="preserve">, Emotional Appeal of Conceptual Metaphors of </w:t>
            </w:r>
            <w:r w:rsidRPr="006B4F67">
              <w:rPr>
                <w:smallCaps/>
                <w:sz w:val="22"/>
                <w:szCs w:val="22"/>
                <w:lang w:val="sr-Cyrl-RS"/>
              </w:rPr>
              <w:t>conflict</w:t>
            </w:r>
            <w:r w:rsidRPr="006B4F67">
              <w:rPr>
                <w:sz w:val="22"/>
                <w:szCs w:val="22"/>
                <w:lang w:val="sr-Cyrl-RS"/>
              </w:rPr>
              <w:t xml:space="preserve"> in the Political Discourse of Daily Newspapers, </w:t>
            </w:r>
            <w:r w:rsidRPr="006B4F67">
              <w:rPr>
                <w:i/>
                <w:sz w:val="22"/>
                <w:szCs w:val="22"/>
                <w:lang w:val="sr-Cyrl-RS"/>
              </w:rPr>
              <w:t>Facta Universitatis, Series: Linguistics and Literature</w:t>
            </w:r>
            <w:r w:rsidRPr="006B4F67">
              <w:rPr>
                <w:sz w:val="22"/>
                <w:szCs w:val="22"/>
                <w:lang w:val="sr-Cyrl-RS"/>
              </w:rPr>
              <w:t xml:space="preserve">, 2014, </w:t>
            </w:r>
            <w:r w:rsidRPr="006B4F67">
              <w:rPr>
                <w:i/>
                <w:iCs/>
                <w:sz w:val="22"/>
                <w:szCs w:val="22"/>
                <w:lang w:val="sr-Cyrl-RS"/>
              </w:rPr>
              <w:t>12</w:t>
            </w:r>
            <w:r w:rsidRPr="006B4F67">
              <w:rPr>
                <w:sz w:val="22"/>
                <w:szCs w:val="22"/>
                <w:lang w:val="sr-Cyrl-RS"/>
              </w:rPr>
              <w:t>(1), pp. 43–61.</w:t>
            </w:r>
          </w:p>
        </w:tc>
        <w:tc>
          <w:tcPr>
            <w:tcW w:w="1163" w:type="dxa"/>
            <w:gridSpan w:val="3"/>
            <w:vMerge w:val="restart"/>
            <w:vAlign w:val="center"/>
          </w:tcPr>
          <w:p w14:paraId="0076953D" w14:textId="22958BE8" w:rsidR="00824A6D" w:rsidRPr="006B4F67" w:rsidRDefault="00824A6D" w:rsidP="00824A6D">
            <w:pPr>
              <w:jc w:val="center"/>
              <w:rPr>
                <w:sz w:val="22"/>
                <w:szCs w:val="22"/>
                <w:lang w:val="sr-Cyrl-RS"/>
              </w:rPr>
            </w:pPr>
            <w:r w:rsidRPr="006B4F67">
              <w:rPr>
                <w:sz w:val="22"/>
                <w:szCs w:val="22"/>
                <w:lang w:val="sr-Cyrl-RS"/>
              </w:rPr>
              <w:t>М51</w:t>
            </w:r>
          </w:p>
        </w:tc>
      </w:tr>
      <w:tr w:rsidR="00824A6D" w:rsidRPr="006B4F67" w14:paraId="6F08A371" w14:textId="77777777" w:rsidTr="00824A6D">
        <w:trPr>
          <w:trHeight w:val="357"/>
          <w:jc w:val="center"/>
        </w:trPr>
        <w:tc>
          <w:tcPr>
            <w:tcW w:w="539" w:type="dxa"/>
            <w:vMerge/>
            <w:shd w:val="clear" w:color="auto" w:fill="F3F3F3"/>
            <w:vAlign w:val="center"/>
          </w:tcPr>
          <w:p w14:paraId="42A78792" w14:textId="77777777" w:rsidR="00824A6D" w:rsidRPr="006B4F67" w:rsidRDefault="00824A6D" w:rsidP="00824A6D">
            <w:pPr>
              <w:jc w:val="center"/>
              <w:rPr>
                <w:sz w:val="18"/>
                <w:szCs w:val="18"/>
                <w:lang w:val="sr-Cyrl-RS"/>
              </w:rPr>
            </w:pPr>
          </w:p>
        </w:tc>
        <w:tc>
          <w:tcPr>
            <w:tcW w:w="9179" w:type="dxa"/>
            <w:gridSpan w:val="8"/>
          </w:tcPr>
          <w:p w14:paraId="3008CB6D" w14:textId="6767B6A3" w:rsidR="00824A6D" w:rsidRPr="006B4F67" w:rsidRDefault="00C549EE" w:rsidP="00824A6D">
            <w:pPr>
              <w:jc w:val="both"/>
              <w:rPr>
                <w:iCs/>
                <w:color w:val="000000"/>
                <w:sz w:val="22"/>
                <w:szCs w:val="22"/>
                <w:lang w:val="sr-Cyrl-RS"/>
              </w:rPr>
            </w:pPr>
            <w:r w:rsidRPr="006B4F67">
              <w:rPr>
                <w:iCs/>
                <w:color w:val="000000"/>
                <w:sz w:val="22"/>
                <w:szCs w:val="22"/>
                <w:lang w:val="sr-Cyrl-RS"/>
              </w:rPr>
              <w:t xml:space="preserve">Аутор у овом раду комбинује квалитативно-квантитативну анализу корпуса и процедуру са испитаницима посредством упитника како би испитао способност појмовне метафоре </w:t>
            </w:r>
            <w:r w:rsidRPr="006B4F67">
              <w:rPr>
                <w:iCs/>
                <w:smallCaps/>
                <w:color w:val="000000"/>
                <w:sz w:val="22"/>
                <w:szCs w:val="22"/>
                <w:lang w:val="sr-Cyrl-RS"/>
              </w:rPr>
              <w:t>сукоба</w:t>
            </w:r>
            <w:r w:rsidRPr="006B4F67">
              <w:rPr>
                <w:iCs/>
                <w:color w:val="000000"/>
                <w:sz w:val="22"/>
                <w:szCs w:val="22"/>
                <w:lang w:val="sr-Cyrl-RS"/>
              </w:rPr>
              <w:t xml:space="preserve"> у енглеском језику да изазове емоционалну реакцију код читалаца у контексту политичког дискурса дневних новина. Приступ у овом раду </w:t>
            </w:r>
            <w:r w:rsidRPr="006B4F67">
              <w:rPr>
                <w:sz w:val="22"/>
                <w:szCs w:val="22"/>
                <w:lang w:val="sr-Cyrl-RS"/>
              </w:rPr>
              <w:t xml:space="preserve">спаја увиде теорије појмовног сажимања и теорију концептуалних аката при изградњи емоција, те кроз неколико упитника испитује колико метафорични домен </w:t>
            </w:r>
            <w:r w:rsidRPr="006B4F67">
              <w:rPr>
                <w:iCs/>
                <w:smallCaps/>
                <w:color w:val="000000"/>
                <w:sz w:val="22"/>
                <w:szCs w:val="22"/>
                <w:lang w:val="sr-Cyrl-RS"/>
              </w:rPr>
              <w:t>сукоба</w:t>
            </w:r>
            <w:r w:rsidRPr="006B4F67">
              <w:rPr>
                <w:sz w:val="22"/>
                <w:szCs w:val="22"/>
                <w:lang w:val="sr-Cyrl-RS"/>
              </w:rPr>
              <w:t xml:space="preserve"> утиче на уверљивост неких сегмената политичког дискурса код испитаника, студената англистике. Методологија се прикладно базирала на двоструком поступку, будући да је најпре извршена детаљна анализа одговарајућег корпуса из онлајн верзије дневника </w:t>
            </w:r>
            <w:r w:rsidRPr="006B4F67">
              <w:rPr>
                <w:i/>
                <w:iCs/>
                <w:sz w:val="22"/>
                <w:szCs w:val="22"/>
                <w:lang w:val="sr-Cyrl-RS"/>
              </w:rPr>
              <w:t>New York Times</w:t>
            </w:r>
            <w:r w:rsidRPr="006B4F67">
              <w:rPr>
                <w:sz w:val="22"/>
                <w:szCs w:val="22"/>
                <w:lang w:val="sr-Cyrl-RS"/>
              </w:rPr>
              <w:t>, а затим су одабрани примери искоришћени за рад са испитаницима, студентима англистике Филозофског факултета.</w:t>
            </w:r>
          </w:p>
        </w:tc>
        <w:tc>
          <w:tcPr>
            <w:tcW w:w="1163" w:type="dxa"/>
            <w:gridSpan w:val="3"/>
            <w:vMerge/>
            <w:vAlign w:val="center"/>
          </w:tcPr>
          <w:p w14:paraId="5C70D0D7" w14:textId="77777777" w:rsidR="00824A6D" w:rsidRPr="006B4F67" w:rsidRDefault="00824A6D" w:rsidP="00824A6D">
            <w:pPr>
              <w:jc w:val="center"/>
              <w:rPr>
                <w:sz w:val="22"/>
                <w:szCs w:val="22"/>
                <w:lang w:val="sr-Cyrl-RS"/>
              </w:rPr>
            </w:pPr>
          </w:p>
        </w:tc>
      </w:tr>
      <w:tr w:rsidR="00824A6D" w:rsidRPr="006B4F67" w14:paraId="46982E7A" w14:textId="77777777" w:rsidTr="00824A6D">
        <w:trPr>
          <w:trHeight w:val="357"/>
          <w:jc w:val="center"/>
        </w:trPr>
        <w:tc>
          <w:tcPr>
            <w:tcW w:w="539" w:type="dxa"/>
            <w:vMerge w:val="restart"/>
            <w:shd w:val="clear" w:color="auto" w:fill="F3F3F3"/>
            <w:vAlign w:val="center"/>
          </w:tcPr>
          <w:p w14:paraId="62FBD078" w14:textId="49B6CA9A" w:rsidR="00824A6D" w:rsidRPr="006B4F67" w:rsidRDefault="00824A6D" w:rsidP="00824A6D">
            <w:pPr>
              <w:jc w:val="center"/>
              <w:rPr>
                <w:sz w:val="18"/>
                <w:szCs w:val="18"/>
                <w:lang w:val="sr-Cyrl-RS"/>
              </w:rPr>
            </w:pPr>
            <w:r w:rsidRPr="006B4F67">
              <w:rPr>
                <w:sz w:val="18"/>
                <w:szCs w:val="18"/>
                <w:lang w:val="sr-Cyrl-RS"/>
              </w:rPr>
              <w:t>4</w:t>
            </w:r>
          </w:p>
        </w:tc>
        <w:tc>
          <w:tcPr>
            <w:tcW w:w="9179" w:type="dxa"/>
            <w:gridSpan w:val="8"/>
          </w:tcPr>
          <w:p w14:paraId="71798354" w14:textId="4A7A0F40" w:rsidR="00824A6D" w:rsidRPr="006B4F67" w:rsidRDefault="00824A6D" w:rsidP="00824A6D">
            <w:pPr>
              <w:jc w:val="both"/>
              <w:rPr>
                <w:iCs/>
                <w:color w:val="000000"/>
                <w:sz w:val="22"/>
                <w:szCs w:val="22"/>
                <w:lang w:val="sr-Cyrl-RS"/>
              </w:rPr>
            </w:pPr>
            <w:r w:rsidRPr="006B4F67">
              <w:rPr>
                <w:b/>
                <w:bCs/>
                <w:sz w:val="22"/>
                <w:szCs w:val="22"/>
                <w:lang w:val="sr-Cyrl-RS"/>
              </w:rPr>
              <w:t>Figar, Vladimir,</w:t>
            </w:r>
            <w:r w:rsidRPr="006B4F67">
              <w:rPr>
                <w:sz w:val="22"/>
                <w:szCs w:val="22"/>
                <w:lang w:val="sr-Cyrl-RS"/>
              </w:rPr>
              <w:t xml:space="preserve"> Testing the Psychological Reality of Parallel Structure with Serbian EFL Students: A Case Study of “not only … but also”, </w:t>
            </w:r>
            <w:r w:rsidRPr="006B4F67">
              <w:rPr>
                <w:i/>
                <w:sz w:val="22"/>
                <w:szCs w:val="22"/>
                <w:lang w:val="sr-Cyrl-RS"/>
              </w:rPr>
              <w:t>Facta Universitatis, Series: Linguistics and Literature</w:t>
            </w:r>
            <w:r w:rsidRPr="006B4F67">
              <w:rPr>
                <w:sz w:val="22"/>
                <w:szCs w:val="22"/>
                <w:lang w:val="sr-Cyrl-RS"/>
              </w:rPr>
              <w:t xml:space="preserve">, 2018, </w:t>
            </w:r>
            <w:r w:rsidRPr="006B4F67">
              <w:rPr>
                <w:i/>
                <w:iCs/>
                <w:sz w:val="22"/>
                <w:szCs w:val="22"/>
                <w:lang w:val="sr-Cyrl-RS"/>
              </w:rPr>
              <w:t>16</w:t>
            </w:r>
            <w:r w:rsidRPr="006B4F67">
              <w:rPr>
                <w:sz w:val="22"/>
                <w:szCs w:val="22"/>
                <w:lang w:val="sr-Cyrl-RS"/>
              </w:rPr>
              <w:t>(1), pp. 39–64.</w:t>
            </w:r>
          </w:p>
        </w:tc>
        <w:tc>
          <w:tcPr>
            <w:tcW w:w="1163" w:type="dxa"/>
            <w:gridSpan w:val="3"/>
            <w:vMerge w:val="restart"/>
            <w:vAlign w:val="center"/>
          </w:tcPr>
          <w:p w14:paraId="5DB01165" w14:textId="5E250B36" w:rsidR="00824A6D" w:rsidRPr="006B4F67" w:rsidRDefault="00824A6D" w:rsidP="00824A6D">
            <w:pPr>
              <w:jc w:val="center"/>
              <w:rPr>
                <w:sz w:val="22"/>
                <w:szCs w:val="22"/>
                <w:lang w:val="sr-Cyrl-RS"/>
              </w:rPr>
            </w:pPr>
            <w:r w:rsidRPr="006B4F67">
              <w:rPr>
                <w:sz w:val="22"/>
                <w:szCs w:val="22"/>
                <w:lang w:val="sr-Cyrl-RS"/>
              </w:rPr>
              <w:t>М51</w:t>
            </w:r>
          </w:p>
        </w:tc>
      </w:tr>
      <w:tr w:rsidR="00824A6D" w:rsidRPr="006B4F67" w14:paraId="7F47227C" w14:textId="77777777" w:rsidTr="00824A6D">
        <w:trPr>
          <w:trHeight w:val="357"/>
          <w:jc w:val="center"/>
        </w:trPr>
        <w:tc>
          <w:tcPr>
            <w:tcW w:w="539" w:type="dxa"/>
            <w:vMerge/>
            <w:shd w:val="clear" w:color="auto" w:fill="F3F3F3"/>
            <w:vAlign w:val="center"/>
          </w:tcPr>
          <w:p w14:paraId="65BB7515" w14:textId="77777777" w:rsidR="00824A6D" w:rsidRPr="006B4F67" w:rsidRDefault="00824A6D" w:rsidP="00824A6D">
            <w:pPr>
              <w:jc w:val="center"/>
              <w:rPr>
                <w:sz w:val="18"/>
                <w:szCs w:val="18"/>
                <w:lang w:val="sr-Cyrl-RS"/>
              </w:rPr>
            </w:pPr>
          </w:p>
        </w:tc>
        <w:tc>
          <w:tcPr>
            <w:tcW w:w="9179" w:type="dxa"/>
            <w:gridSpan w:val="8"/>
          </w:tcPr>
          <w:p w14:paraId="638787BC" w14:textId="7E4B8042" w:rsidR="00824A6D" w:rsidRPr="006B4F67" w:rsidRDefault="00C549EE" w:rsidP="00824A6D">
            <w:pPr>
              <w:jc w:val="both"/>
              <w:rPr>
                <w:iCs/>
                <w:color w:val="000000"/>
                <w:sz w:val="22"/>
                <w:szCs w:val="22"/>
                <w:lang w:val="sr-Cyrl-RS"/>
              </w:rPr>
            </w:pPr>
            <w:r w:rsidRPr="006B4F67">
              <w:rPr>
                <w:sz w:val="22"/>
                <w:szCs w:val="22"/>
                <w:lang w:val="sr-Cyrl-RS"/>
              </w:rPr>
              <w:t xml:space="preserve">У раду се испитује улога везника „not only... but also“ на узорку српских студената енглеског језика на напредном нивоу. Оцењивали су се граматичност и време реакције при интерпретацији реченица које су садржале честе студентске грешке. Реченице су презентоване реч по реч, са маском на екрану. Резултати су показали да се у већини случајева </w:t>
            </w:r>
            <w:r w:rsidR="006B4F67">
              <w:rPr>
                <w:sz w:val="22"/>
                <w:szCs w:val="22"/>
                <w:lang w:val="sr-Cyrl-RS"/>
              </w:rPr>
              <w:t>касна</w:t>
            </w:r>
            <w:r w:rsidRPr="006B4F67">
              <w:rPr>
                <w:sz w:val="22"/>
                <w:szCs w:val="22"/>
                <w:lang w:val="sr-Cyrl-RS"/>
              </w:rPr>
              <w:t xml:space="preserve"> реакција добила у тренутку у коме се појавила грешка, што је било праћено и наглим смањењем броја тачних одговора. Оваква процедура указала је на умешност кандидата Фигара у домену психолингвистичких истраживања, што ће бити од посебног значаја у раду на предложеној докторској дисертацији.</w:t>
            </w:r>
          </w:p>
        </w:tc>
        <w:tc>
          <w:tcPr>
            <w:tcW w:w="1163" w:type="dxa"/>
            <w:gridSpan w:val="3"/>
            <w:vMerge/>
            <w:vAlign w:val="center"/>
          </w:tcPr>
          <w:p w14:paraId="616F20B8" w14:textId="77777777" w:rsidR="00824A6D" w:rsidRPr="006B4F67" w:rsidRDefault="00824A6D" w:rsidP="00824A6D">
            <w:pPr>
              <w:jc w:val="center"/>
              <w:rPr>
                <w:sz w:val="22"/>
                <w:szCs w:val="22"/>
                <w:lang w:val="sr-Cyrl-RS"/>
              </w:rPr>
            </w:pPr>
          </w:p>
        </w:tc>
      </w:tr>
      <w:tr w:rsidR="00824A6D" w:rsidRPr="006B4F67" w14:paraId="56F31F35" w14:textId="77777777" w:rsidTr="00824A6D">
        <w:trPr>
          <w:trHeight w:val="357"/>
          <w:jc w:val="center"/>
        </w:trPr>
        <w:tc>
          <w:tcPr>
            <w:tcW w:w="539" w:type="dxa"/>
            <w:vMerge w:val="restart"/>
            <w:shd w:val="clear" w:color="auto" w:fill="F3F3F3"/>
            <w:vAlign w:val="center"/>
          </w:tcPr>
          <w:p w14:paraId="658E3927" w14:textId="04876511" w:rsidR="00824A6D" w:rsidRPr="006B4F67" w:rsidRDefault="00824A6D" w:rsidP="00824A6D">
            <w:pPr>
              <w:jc w:val="center"/>
              <w:rPr>
                <w:sz w:val="18"/>
                <w:szCs w:val="18"/>
                <w:lang w:val="sr-Cyrl-RS"/>
              </w:rPr>
            </w:pPr>
            <w:r w:rsidRPr="006B4F67">
              <w:rPr>
                <w:sz w:val="18"/>
                <w:szCs w:val="18"/>
                <w:lang w:val="sr-Cyrl-RS"/>
              </w:rPr>
              <w:t>5</w:t>
            </w:r>
          </w:p>
        </w:tc>
        <w:tc>
          <w:tcPr>
            <w:tcW w:w="9179" w:type="dxa"/>
            <w:gridSpan w:val="8"/>
            <w:vAlign w:val="center"/>
          </w:tcPr>
          <w:p w14:paraId="1C338295" w14:textId="735039D8" w:rsidR="00824A6D" w:rsidRPr="006B4F67" w:rsidRDefault="00824A6D" w:rsidP="00824A6D">
            <w:pPr>
              <w:jc w:val="both"/>
              <w:rPr>
                <w:iCs/>
                <w:color w:val="000000"/>
                <w:sz w:val="22"/>
                <w:szCs w:val="22"/>
                <w:lang w:val="sr-Cyrl-RS"/>
              </w:rPr>
            </w:pPr>
            <w:r w:rsidRPr="006B4F67">
              <w:rPr>
                <w:sz w:val="22"/>
                <w:szCs w:val="22"/>
                <w:lang w:val="sr-Cyrl-RS"/>
              </w:rPr>
              <w:t xml:space="preserve">Antović, Mihailo, Stamenković, Dušan, </w:t>
            </w:r>
            <w:r w:rsidRPr="006B4F67">
              <w:rPr>
                <w:b/>
                <w:sz w:val="22"/>
                <w:szCs w:val="22"/>
                <w:lang w:val="sr-Cyrl-RS"/>
              </w:rPr>
              <w:t>Figar, Vladimir</w:t>
            </w:r>
            <w:r w:rsidRPr="006B4F67">
              <w:rPr>
                <w:bCs/>
                <w:sz w:val="22"/>
                <w:szCs w:val="22"/>
                <w:lang w:val="sr-Cyrl-RS"/>
              </w:rPr>
              <w:t>,</w:t>
            </w:r>
            <w:r w:rsidRPr="006B4F67">
              <w:rPr>
                <w:sz w:val="22"/>
                <w:szCs w:val="22"/>
                <w:lang w:val="sr-Cyrl-RS"/>
              </w:rPr>
              <w:t xml:space="preserve"> Association of Meaning in Program Music: On Denotation, Inherence, and Onomatopoeia, </w:t>
            </w:r>
            <w:r w:rsidRPr="006B4F67">
              <w:rPr>
                <w:i/>
                <w:sz w:val="22"/>
                <w:szCs w:val="22"/>
                <w:lang w:val="sr-Cyrl-RS"/>
              </w:rPr>
              <w:t>Music Perception</w:t>
            </w:r>
            <w:r w:rsidRPr="006B4F67">
              <w:rPr>
                <w:sz w:val="22"/>
                <w:szCs w:val="22"/>
                <w:lang w:val="sr-Cyrl-RS"/>
              </w:rPr>
              <w:t xml:space="preserve">, 2016, </w:t>
            </w:r>
            <w:r w:rsidRPr="006B4F67">
              <w:rPr>
                <w:i/>
                <w:iCs/>
                <w:sz w:val="22"/>
                <w:szCs w:val="22"/>
                <w:lang w:val="sr-Cyrl-RS"/>
              </w:rPr>
              <w:t>34</w:t>
            </w:r>
            <w:r w:rsidRPr="006B4F67">
              <w:rPr>
                <w:sz w:val="22"/>
                <w:szCs w:val="22"/>
                <w:lang w:val="sr-Cyrl-RS"/>
              </w:rPr>
              <w:t>(2), pp. 243–248.</w:t>
            </w:r>
          </w:p>
        </w:tc>
        <w:tc>
          <w:tcPr>
            <w:tcW w:w="1163" w:type="dxa"/>
            <w:gridSpan w:val="3"/>
            <w:vMerge w:val="restart"/>
            <w:vAlign w:val="center"/>
          </w:tcPr>
          <w:p w14:paraId="7F2559CE" w14:textId="4F2599CE" w:rsidR="00824A6D" w:rsidRPr="006B4F67" w:rsidRDefault="00824A6D" w:rsidP="00824A6D">
            <w:pPr>
              <w:jc w:val="center"/>
              <w:rPr>
                <w:sz w:val="22"/>
                <w:szCs w:val="22"/>
                <w:lang w:val="sr-Cyrl-RS"/>
              </w:rPr>
            </w:pPr>
            <w:r w:rsidRPr="006B4F67">
              <w:rPr>
                <w:sz w:val="22"/>
                <w:szCs w:val="22"/>
                <w:lang w:val="sr-Cyrl-RS"/>
              </w:rPr>
              <w:t>М23</w:t>
            </w:r>
          </w:p>
        </w:tc>
      </w:tr>
      <w:tr w:rsidR="00824A6D" w:rsidRPr="006B4F67" w14:paraId="6CAB2AFF" w14:textId="77777777" w:rsidTr="007553DB">
        <w:trPr>
          <w:trHeight w:val="357"/>
          <w:jc w:val="center"/>
        </w:trPr>
        <w:tc>
          <w:tcPr>
            <w:tcW w:w="539" w:type="dxa"/>
            <w:vMerge/>
            <w:shd w:val="clear" w:color="auto" w:fill="F3F3F3"/>
            <w:vAlign w:val="center"/>
          </w:tcPr>
          <w:p w14:paraId="5E0CB12C" w14:textId="77777777" w:rsidR="00824A6D" w:rsidRPr="006B4F67" w:rsidRDefault="00824A6D" w:rsidP="00824A6D">
            <w:pPr>
              <w:jc w:val="center"/>
              <w:rPr>
                <w:sz w:val="18"/>
                <w:szCs w:val="18"/>
                <w:lang w:val="sr-Cyrl-RS"/>
              </w:rPr>
            </w:pPr>
          </w:p>
        </w:tc>
        <w:tc>
          <w:tcPr>
            <w:tcW w:w="9179" w:type="dxa"/>
            <w:gridSpan w:val="8"/>
          </w:tcPr>
          <w:p w14:paraId="27F5C8CA" w14:textId="5206FAC5" w:rsidR="00824A6D" w:rsidRPr="006B4F67" w:rsidRDefault="00C549EE" w:rsidP="00824A6D">
            <w:pPr>
              <w:jc w:val="both"/>
              <w:rPr>
                <w:iCs/>
                <w:color w:val="000000"/>
                <w:sz w:val="22"/>
                <w:szCs w:val="22"/>
                <w:lang w:val="sr-Cyrl-RS"/>
              </w:rPr>
            </w:pPr>
            <w:r w:rsidRPr="006B4F67">
              <w:rPr>
                <w:sz w:val="22"/>
                <w:szCs w:val="22"/>
                <w:lang w:val="sr-Cyrl-RS"/>
              </w:rPr>
              <w:t xml:space="preserve">Рад приказује студију која се бавила интердисциплинарним проблемом на граници когнитивне семантике и музичке когниције. У експерименталном дизајну, са 201 испитаником подељеним у три групе </w:t>
            </w:r>
            <w:r w:rsidR="00DA7746" w:rsidRPr="006B4F67">
              <w:rPr>
                <w:sz w:val="22"/>
                <w:szCs w:val="22"/>
                <w:lang w:val="sr-Cyrl-RS"/>
              </w:rPr>
              <w:t>и</w:t>
            </w:r>
            <w:r w:rsidRPr="006B4F67">
              <w:rPr>
                <w:sz w:val="22"/>
                <w:szCs w:val="22"/>
                <w:lang w:val="sr-Cyrl-RS"/>
              </w:rPr>
              <w:t xml:space="preserve"> пре-</w:t>
            </w:r>
            <w:r w:rsidR="00DA7746" w:rsidRPr="006B4F67">
              <w:rPr>
                <w:lang w:val="sr-Cyrl-RS"/>
              </w:rPr>
              <w:t xml:space="preserve"> </w:t>
            </w:r>
            <w:r w:rsidR="00DA7746" w:rsidRPr="006B4F67">
              <w:rPr>
                <w:sz w:val="22"/>
                <w:szCs w:val="22"/>
                <w:lang w:val="sr-Cyrl-RS"/>
              </w:rPr>
              <w:t>тестом</w:t>
            </w:r>
            <w:r w:rsidRPr="006B4F67">
              <w:rPr>
                <w:sz w:val="22"/>
                <w:szCs w:val="22"/>
                <w:lang w:val="sr-Cyrl-RS"/>
              </w:rPr>
              <w:t xml:space="preserve"> и пост-тестом, испитан је феномен референцијалног значења у програмској музици. Испоставило се да неке честе идеје у дискурсу о „семантици музике“ – пре свега она о „инхерентном“ музичком значењу, „поткрепљењу“ процеса изградње значења у музици путем инструкција које су била у семантичкој вези са композиторовим програмом, а потом и доминантној „ономатопејској“ интерпретацији неких музичких мотива – нису могле да прођу емпиријску проверу.</w:t>
            </w:r>
          </w:p>
        </w:tc>
        <w:tc>
          <w:tcPr>
            <w:tcW w:w="1163" w:type="dxa"/>
            <w:gridSpan w:val="3"/>
            <w:vMerge/>
            <w:vAlign w:val="center"/>
          </w:tcPr>
          <w:p w14:paraId="1B24C520" w14:textId="77777777" w:rsidR="00824A6D" w:rsidRPr="006B4F67" w:rsidRDefault="00824A6D" w:rsidP="00824A6D">
            <w:pPr>
              <w:rPr>
                <w:lang w:val="sr-Cyrl-RS"/>
              </w:rPr>
            </w:pPr>
          </w:p>
        </w:tc>
      </w:tr>
      <w:tr w:rsidR="00824A6D" w:rsidRPr="006B4F67" w14:paraId="0E39A3D9" w14:textId="77777777" w:rsidTr="00743CA1">
        <w:trPr>
          <w:trHeight w:val="340"/>
          <w:jc w:val="center"/>
        </w:trPr>
        <w:tc>
          <w:tcPr>
            <w:tcW w:w="10881" w:type="dxa"/>
            <w:gridSpan w:val="12"/>
            <w:shd w:val="clear" w:color="auto" w:fill="F3F3F3"/>
            <w:vAlign w:val="center"/>
          </w:tcPr>
          <w:p w14:paraId="7BF7DE0C" w14:textId="77777777" w:rsidR="00824A6D" w:rsidRPr="006B4F67" w:rsidRDefault="00824A6D" w:rsidP="00824A6D">
            <w:pPr>
              <w:rPr>
                <w:sz w:val="20"/>
                <w:szCs w:val="20"/>
                <w:lang w:val="sr-Cyrl-RS"/>
              </w:rPr>
            </w:pPr>
            <w:r w:rsidRPr="006B4F67">
              <w:rPr>
                <w:b/>
                <w:sz w:val="20"/>
                <w:szCs w:val="20"/>
                <w:lang w:val="sr-Cyrl-RS"/>
              </w:rPr>
              <w:t>НАПОМЕНА</w:t>
            </w:r>
            <w:r w:rsidRPr="006B4F67">
              <w:rPr>
                <w:sz w:val="20"/>
                <w:szCs w:val="20"/>
                <w:lang w:val="sr-Cyrl-RS"/>
              </w:rPr>
              <w:t>: уколико је кандидат објавио више од 3 рада, додати нове редове у овај део документа</w:t>
            </w:r>
          </w:p>
          <w:p w14:paraId="39731000" w14:textId="6F0E74A8" w:rsidR="00C549EE" w:rsidRPr="006B4F67" w:rsidRDefault="00C549EE" w:rsidP="00824A6D">
            <w:pPr>
              <w:rPr>
                <w:sz w:val="20"/>
                <w:szCs w:val="20"/>
                <w:lang w:val="sr-Cyrl-RS"/>
              </w:rPr>
            </w:pPr>
          </w:p>
        </w:tc>
      </w:tr>
      <w:tr w:rsidR="00824A6D" w:rsidRPr="006B4F67" w14:paraId="07E68A6F" w14:textId="77777777" w:rsidTr="00743CA1">
        <w:trPr>
          <w:trHeight w:val="340"/>
          <w:jc w:val="center"/>
        </w:trPr>
        <w:tc>
          <w:tcPr>
            <w:tcW w:w="10881" w:type="dxa"/>
            <w:gridSpan w:val="12"/>
            <w:shd w:val="clear" w:color="auto" w:fill="D9D9D9"/>
            <w:vAlign w:val="center"/>
          </w:tcPr>
          <w:p w14:paraId="544F791F" w14:textId="22905520" w:rsidR="00824A6D" w:rsidRPr="006B4F67" w:rsidRDefault="00824A6D" w:rsidP="00824A6D">
            <w:pPr>
              <w:jc w:val="center"/>
              <w:rPr>
                <w:b/>
                <w:lang w:val="sr-Cyrl-RS"/>
              </w:rPr>
            </w:pPr>
            <w:r w:rsidRPr="006B4F67">
              <w:rPr>
                <w:rFonts w:eastAsia="TimesNewRomanPS-BoldMT"/>
                <w:b/>
                <w:lang w:val="sr-Cyrl-RS"/>
              </w:rPr>
              <w:lastRenderedPageBreak/>
              <w:t>ИСПУЊЕНОСТ УСЛОВА ЗА ОДБРАНУ</w:t>
            </w:r>
            <w:r w:rsidR="007F69C9" w:rsidRPr="006B4F67">
              <w:rPr>
                <w:rFonts w:eastAsia="TimesNewRomanPS-BoldMT"/>
                <w:b/>
                <w:lang w:val="sr-Cyrl-RS"/>
              </w:rPr>
              <w:t xml:space="preserve"> </w:t>
            </w:r>
            <w:r w:rsidRPr="006B4F67">
              <w:rPr>
                <w:rFonts w:eastAsia="TimesNewRomanPS-BoldMT"/>
                <w:b/>
                <w:lang w:val="sr-Cyrl-RS"/>
              </w:rPr>
              <w:t>ДОКТОРСКЕ ДИСЕРТАЦИЈЕ</w:t>
            </w:r>
          </w:p>
        </w:tc>
      </w:tr>
      <w:tr w:rsidR="00824A6D" w:rsidRPr="006B4F67" w14:paraId="03AA41E4" w14:textId="77777777" w:rsidTr="007553DB">
        <w:trPr>
          <w:gridAfter w:val="1"/>
          <w:wAfter w:w="102" w:type="dxa"/>
          <w:trHeight w:val="340"/>
          <w:jc w:val="center"/>
        </w:trPr>
        <w:tc>
          <w:tcPr>
            <w:tcW w:w="9718" w:type="dxa"/>
            <w:gridSpan w:val="9"/>
            <w:tcBorders>
              <w:bottom w:val="single" w:sz="4" w:space="0" w:color="C0C0C0"/>
            </w:tcBorders>
            <w:shd w:val="clear" w:color="auto" w:fill="F3F3F3"/>
            <w:vAlign w:val="center"/>
          </w:tcPr>
          <w:p w14:paraId="32597494" w14:textId="77777777" w:rsidR="00824A6D" w:rsidRPr="006B4F67" w:rsidRDefault="00824A6D" w:rsidP="00824A6D">
            <w:pPr>
              <w:rPr>
                <w:b/>
                <w:sz w:val="20"/>
                <w:szCs w:val="20"/>
                <w:lang w:val="sr-Cyrl-RS"/>
              </w:rPr>
            </w:pPr>
            <w:r w:rsidRPr="006B4F67">
              <w:rPr>
                <w:sz w:val="20"/>
                <w:szCs w:val="20"/>
                <w:lang w:val="sr-Cyrl-RS"/>
              </w:rPr>
              <w:t>Кандидат испуњава услове за оцену и одбрану докторске дисертације који су предвиђени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CDA2AB5" w14:textId="77777777" w:rsidR="00824A6D" w:rsidRPr="006B4F67" w:rsidRDefault="00824A6D" w:rsidP="00824A6D">
            <w:pPr>
              <w:jc w:val="center"/>
              <w:rPr>
                <w:b/>
                <w:sz w:val="20"/>
                <w:szCs w:val="20"/>
                <w:u w:val="single"/>
                <w:lang w:val="sr-Cyrl-RS"/>
              </w:rPr>
            </w:pPr>
            <w:r w:rsidRPr="006B4F67">
              <w:rPr>
                <w:b/>
                <w:sz w:val="20"/>
                <w:szCs w:val="20"/>
                <w:u w:val="single"/>
                <w:lang w:val="sr-Cyrl-RS"/>
              </w:rPr>
              <w:t>ДА</w:t>
            </w:r>
          </w:p>
        </w:tc>
        <w:tc>
          <w:tcPr>
            <w:tcW w:w="521" w:type="dxa"/>
            <w:tcBorders>
              <w:bottom w:val="single" w:sz="4" w:space="0" w:color="C0C0C0"/>
            </w:tcBorders>
            <w:shd w:val="clear" w:color="auto" w:fill="F3F3F3"/>
            <w:vAlign w:val="center"/>
          </w:tcPr>
          <w:p w14:paraId="48A52C88" w14:textId="77777777" w:rsidR="00824A6D" w:rsidRPr="006B4F67" w:rsidRDefault="00824A6D" w:rsidP="00824A6D">
            <w:pPr>
              <w:jc w:val="center"/>
              <w:rPr>
                <w:bCs/>
                <w:sz w:val="20"/>
                <w:szCs w:val="20"/>
                <w:lang w:val="sr-Cyrl-RS"/>
              </w:rPr>
            </w:pPr>
            <w:r w:rsidRPr="006B4F67">
              <w:rPr>
                <w:bCs/>
                <w:sz w:val="20"/>
                <w:szCs w:val="20"/>
                <w:lang w:val="sr-Cyrl-RS"/>
              </w:rPr>
              <w:t>НЕ</w:t>
            </w:r>
          </w:p>
        </w:tc>
      </w:tr>
      <w:tr w:rsidR="00824A6D" w:rsidRPr="006B4F67" w14:paraId="7F532CCF" w14:textId="77777777" w:rsidTr="00743CA1">
        <w:trPr>
          <w:trHeight w:val="340"/>
          <w:jc w:val="center"/>
        </w:trPr>
        <w:tc>
          <w:tcPr>
            <w:tcW w:w="10881" w:type="dxa"/>
            <w:gridSpan w:val="12"/>
            <w:shd w:val="clear" w:color="auto" w:fill="auto"/>
            <w:vAlign w:val="center"/>
          </w:tcPr>
          <w:p w14:paraId="35AE6B32" w14:textId="07ECF759" w:rsidR="00824A6D" w:rsidRPr="006B4F67" w:rsidRDefault="00824A6D" w:rsidP="00824A6D">
            <w:pPr>
              <w:jc w:val="both"/>
              <w:rPr>
                <w:iCs/>
                <w:color w:val="000000"/>
                <w:sz w:val="22"/>
                <w:szCs w:val="22"/>
                <w:lang w:val="sr-Cyrl-RS"/>
              </w:rPr>
            </w:pPr>
            <w:r w:rsidRPr="006B4F67">
              <w:rPr>
                <w:iCs/>
                <w:color w:val="000000"/>
                <w:sz w:val="22"/>
                <w:szCs w:val="22"/>
                <w:lang w:val="sr-Cyrl-RS"/>
              </w:rPr>
              <w:tab/>
              <w:t xml:space="preserve">Кандидат </w:t>
            </w:r>
            <w:r w:rsidR="009E7ABA" w:rsidRPr="006B4F67">
              <w:rPr>
                <w:iCs/>
                <w:color w:val="000000"/>
                <w:sz w:val="22"/>
                <w:szCs w:val="22"/>
                <w:lang w:val="sr-Cyrl-RS"/>
              </w:rPr>
              <w:t>Владимир Фигар</w:t>
            </w:r>
            <w:r w:rsidRPr="006B4F67">
              <w:rPr>
                <w:iCs/>
                <w:color w:val="000000"/>
                <w:sz w:val="22"/>
                <w:szCs w:val="22"/>
                <w:lang w:val="sr-Cyrl-RS"/>
              </w:rPr>
              <w:t xml:space="preserve"> испуњава све услове за оцену и одбрану докторске дисертације који су предвиђени Законом о високом образовању, Статутом Универзитета у Нишу</w:t>
            </w:r>
            <w:r w:rsidR="009E4B26" w:rsidRPr="006B4F67">
              <w:rPr>
                <w:iCs/>
                <w:color w:val="000000"/>
                <w:sz w:val="22"/>
                <w:szCs w:val="22"/>
                <w:lang w:val="sr-Cyrl-RS"/>
              </w:rPr>
              <w:t>, Правилником о поступку припреме и условима за одбрану докторске дисертације</w:t>
            </w:r>
            <w:r w:rsidRPr="006B4F67">
              <w:rPr>
                <w:iCs/>
                <w:color w:val="000000"/>
                <w:sz w:val="22"/>
                <w:szCs w:val="22"/>
                <w:lang w:val="sr-Cyrl-RS"/>
              </w:rPr>
              <w:t xml:space="preserve"> и Статутом Филозофског факултета у Нишу.</w:t>
            </w:r>
          </w:p>
        </w:tc>
      </w:tr>
      <w:tr w:rsidR="00824A6D" w:rsidRPr="006B4F67" w14:paraId="371D38AE" w14:textId="77777777" w:rsidTr="00743CA1">
        <w:trPr>
          <w:trHeight w:val="340"/>
          <w:jc w:val="center"/>
        </w:trPr>
        <w:tc>
          <w:tcPr>
            <w:tcW w:w="10881" w:type="dxa"/>
            <w:gridSpan w:val="12"/>
            <w:shd w:val="clear" w:color="auto" w:fill="D9D9D9"/>
            <w:vAlign w:val="center"/>
          </w:tcPr>
          <w:p w14:paraId="34EB04A0" w14:textId="77777777" w:rsidR="00824A6D" w:rsidRPr="006B4F67" w:rsidRDefault="00824A6D" w:rsidP="00824A6D">
            <w:pPr>
              <w:jc w:val="center"/>
              <w:rPr>
                <w:b/>
                <w:lang w:val="sr-Cyrl-RS"/>
              </w:rPr>
            </w:pPr>
            <w:r w:rsidRPr="006B4F67">
              <w:rPr>
                <w:b/>
                <w:lang w:val="sr-Cyrl-RS"/>
              </w:rPr>
              <w:t>ВРЕДНОВАЊЕ ПОЈЕДИНИХ ДЕЛОВА ДОКТОРСКЕ ДИСЕРТАЦИЈЕ</w:t>
            </w:r>
          </w:p>
        </w:tc>
      </w:tr>
      <w:tr w:rsidR="00824A6D" w:rsidRPr="006B4F67" w14:paraId="5E20071C" w14:textId="77777777" w:rsidTr="00743CA1">
        <w:trPr>
          <w:trHeight w:val="227"/>
          <w:jc w:val="center"/>
        </w:trPr>
        <w:tc>
          <w:tcPr>
            <w:tcW w:w="10881" w:type="dxa"/>
            <w:gridSpan w:val="12"/>
            <w:shd w:val="clear" w:color="auto" w:fill="F3F3F3"/>
            <w:vAlign w:val="center"/>
          </w:tcPr>
          <w:p w14:paraId="77143AC8" w14:textId="77777777" w:rsidR="00824A6D" w:rsidRPr="006B4F67" w:rsidRDefault="00824A6D" w:rsidP="00824A6D">
            <w:pPr>
              <w:rPr>
                <w:sz w:val="22"/>
                <w:szCs w:val="22"/>
                <w:lang w:val="sr-Cyrl-RS"/>
              </w:rPr>
            </w:pPr>
            <w:r w:rsidRPr="006B4F67">
              <w:rPr>
                <w:sz w:val="22"/>
                <w:szCs w:val="22"/>
                <w:lang w:val="sr-Cyrl-RS"/>
              </w:rPr>
              <w:t xml:space="preserve">Кратак опис појединих делова дисертације </w:t>
            </w:r>
            <w:r w:rsidRPr="006B4F67">
              <w:rPr>
                <w:color w:val="808080"/>
                <w:sz w:val="22"/>
                <w:szCs w:val="22"/>
                <w:lang w:val="sr-Cyrl-RS"/>
              </w:rPr>
              <w:t>(</w:t>
            </w:r>
            <w:r w:rsidRPr="006B4F67">
              <w:rPr>
                <w:i/>
                <w:color w:val="808080"/>
                <w:sz w:val="22"/>
                <w:szCs w:val="22"/>
                <w:lang w:val="sr-Cyrl-RS"/>
              </w:rPr>
              <w:t>до 500 речи</w:t>
            </w:r>
            <w:r w:rsidRPr="006B4F67">
              <w:rPr>
                <w:color w:val="808080"/>
                <w:sz w:val="22"/>
                <w:szCs w:val="22"/>
                <w:lang w:val="sr-Cyrl-RS"/>
              </w:rPr>
              <w:t>)</w:t>
            </w:r>
          </w:p>
        </w:tc>
      </w:tr>
      <w:tr w:rsidR="00824A6D" w:rsidRPr="006B4F67" w14:paraId="4167B0F2" w14:textId="77777777" w:rsidTr="00743CA1">
        <w:trPr>
          <w:trHeight w:val="567"/>
          <w:jc w:val="center"/>
        </w:trPr>
        <w:tc>
          <w:tcPr>
            <w:tcW w:w="10881" w:type="dxa"/>
            <w:gridSpan w:val="12"/>
          </w:tcPr>
          <w:p w14:paraId="3DB0C84C" w14:textId="266AD658" w:rsidR="007A417C" w:rsidRPr="006B4F67" w:rsidRDefault="00824A6D" w:rsidP="00824A6D">
            <w:pPr>
              <w:jc w:val="both"/>
              <w:rPr>
                <w:sz w:val="22"/>
                <w:szCs w:val="22"/>
                <w:lang w:val="sr-Cyrl-RS"/>
              </w:rPr>
            </w:pPr>
            <w:r w:rsidRPr="006B4F67">
              <w:rPr>
                <w:sz w:val="22"/>
                <w:szCs w:val="22"/>
                <w:lang w:val="sr-Cyrl-RS"/>
              </w:rPr>
              <w:tab/>
              <w:t xml:space="preserve">Докторска дисертација </w:t>
            </w:r>
            <w:r w:rsidR="009E4B26" w:rsidRPr="006B4F67">
              <w:rPr>
                <w:sz w:val="22"/>
                <w:szCs w:val="22"/>
                <w:lang w:val="sr-Cyrl-RS"/>
              </w:rPr>
              <w:t xml:space="preserve">кандидата Владимира Фигара </w:t>
            </w:r>
            <w:r w:rsidRPr="006B4F67">
              <w:rPr>
                <w:sz w:val="22"/>
                <w:szCs w:val="22"/>
                <w:lang w:val="sr-Cyrl-RS"/>
              </w:rPr>
              <w:t xml:space="preserve">под називом </w:t>
            </w:r>
            <w:r w:rsidRPr="006B4F67">
              <w:rPr>
                <w:i/>
                <w:iCs/>
                <w:sz w:val="22"/>
                <w:szCs w:val="22"/>
                <w:lang w:val="sr-Cyrl-RS"/>
              </w:rPr>
              <w:t>Semantic Frame Activation and Contextual Aptness of Metaphorical Expressions (Активација семантичких оквира и прилагођеност метафоричких израза контексту)</w:t>
            </w:r>
            <w:r w:rsidRPr="006B4F67">
              <w:rPr>
                <w:sz w:val="22"/>
                <w:szCs w:val="22"/>
                <w:lang w:val="sr-Cyrl-RS"/>
              </w:rPr>
              <w:t xml:space="preserve"> састоји се из следећих седам поглавља: </w:t>
            </w:r>
            <w:r w:rsidRPr="006B4F67">
              <w:rPr>
                <w:i/>
                <w:iCs/>
                <w:sz w:val="22"/>
                <w:szCs w:val="22"/>
                <w:lang w:val="sr-Cyrl-RS"/>
              </w:rPr>
              <w:t xml:space="preserve">Introduction, Theoretical framework, Corpus analysis, Semantic frame activation in a categorization task, Contextual aptness of metaphorical expressions, General discussion, </w:t>
            </w:r>
            <w:r w:rsidRPr="006B4F67">
              <w:rPr>
                <w:sz w:val="22"/>
                <w:szCs w:val="22"/>
                <w:lang w:val="sr-Cyrl-RS"/>
              </w:rPr>
              <w:t>и</w:t>
            </w:r>
            <w:r w:rsidRPr="006B4F67">
              <w:rPr>
                <w:i/>
                <w:iCs/>
                <w:sz w:val="22"/>
                <w:szCs w:val="22"/>
                <w:lang w:val="sr-Cyrl-RS"/>
              </w:rPr>
              <w:t xml:space="preserve"> Conclusions, limitations, and future research.</w:t>
            </w:r>
            <w:r w:rsidR="00AB7825" w:rsidRPr="006B4F67">
              <w:rPr>
                <w:sz w:val="22"/>
                <w:szCs w:val="22"/>
                <w:lang w:val="sr-Cyrl-RS"/>
              </w:rPr>
              <w:t xml:space="preserve"> </w:t>
            </w:r>
            <w:r w:rsidRPr="00824A6D">
              <w:rPr>
                <w:sz w:val="22"/>
                <w:szCs w:val="22"/>
                <w:lang w:val="sr-Cyrl-RS"/>
              </w:rPr>
              <w:t xml:space="preserve">У поглављу </w:t>
            </w:r>
            <w:r w:rsidRPr="00824A6D">
              <w:rPr>
                <w:i/>
                <w:iCs/>
                <w:sz w:val="22"/>
                <w:szCs w:val="22"/>
                <w:lang w:val="sr-Cyrl-RS"/>
              </w:rPr>
              <w:t>Introduction</w:t>
            </w:r>
            <w:r w:rsidRPr="00824A6D">
              <w:rPr>
                <w:sz w:val="22"/>
                <w:szCs w:val="22"/>
                <w:lang w:val="sr-Cyrl-RS"/>
              </w:rPr>
              <w:t xml:space="preserve"> наведени су главни циљеви истраживања, описане су теоријско-методолошке поставке експеримената посредством којих је истраживање спроведено, и описана је структура дисертације. Такође, дат је и кратак осврт на најважније теоријске појмове који су били предмет истраживања.</w:t>
            </w:r>
            <w:r w:rsidR="00AB7825" w:rsidRPr="006B4F67">
              <w:rPr>
                <w:sz w:val="22"/>
                <w:szCs w:val="22"/>
                <w:lang w:val="sr-Cyrl-RS"/>
              </w:rPr>
              <w:t xml:space="preserve"> </w:t>
            </w:r>
            <w:r w:rsidRPr="00824A6D">
              <w:rPr>
                <w:sz w:val="22"/>
                <w:szCs w:val="22"/>
                <w:lang w:val="sr-Cyrl-RS"/>
              </w:rPr>
              <w:t xml:space="preserve">У поглављу </w:t>
            </w:r>
            <w:r w:rsidRPr="00824A6D">
              <w:rPr>
                <w:i/>
                <w:iCs/>
                <w:sz w:val="22"/>
                <w:szCs w:val="22"/>
                <w:lang w:val="sr-Cyrl-RS"/>
              </w:rPr>
              <w:t>Theoretical framework</w:t>
            </w:r>
            <w:r w:rsidRPr="00824A6D">
              <w:rPr>
                <w:sz w:val="22"/>
                <w:szCs w:val="22"/>
                <w:lang w:val="sr-Cyrl-RS"/>
              </w:rPr>
              <w:t xml:space="preserve"> аутор даје детаљан преглед најважнијих ставова и претходних истраживања која се тичу теоријских појмова којима се у дисертацији бави. Ово поглавље састоји се из шест потпоглавља: </w:t>
            </w:r>
            <w:r w:rsidRPr="00824A6D">
              <w:rPr>
                <w:i/>
                <w:iCs/>
                <w:sz w:val="22"/>
                <w:szCs w:val="22"/>
                <w:lang w:val="sr-Cyrl-RS"/>
              </w:rPr>
              <w:t xml:space="preserve">Categorization, Context, Semantic frames and domains, Semantic priming, Conceptual metaphor: Origins and development, </w:t>
            </w:r>
            <w:r w:rsidRPr="00824A6D">
              <w:rPr>
                <w:sz w:val="22"/>
                <w:szCs w:val="22"/>
                <w:lang w:val="sr-Cyrl-RS"/>
              </w:rPr>
              <w:t xml:space="preserve">и </w:t>
            </w:r>
            <w:r w:rsidRPr="00824A6D">
              <w:rPr>
                <w:i/>
                <w:iCs/>
                <w:sz w:val="22"/>
                <w:szCs w:val="22"/>
                <w:lang w:val="sr-Cyrl-RS"/>
              </w:rPr>
              <w:t>Context and metaphor comprehension</w:t>
            </w:r>
            <w:r w:rsidRPr="00824A6D">
              <w:rPr>
                <w:sz w:val="22"/>
                <w:szCs w:val="22"/>
                <w:lang w:val="sr-Cyrl-RS"/>
              </w:rPr>
              <w:t>. У сваком потпоглављу истакнут је значај датог теоријског појма у контексту ове дисертације, преглед владајућих ставова у литератури, као и осврт на релевантна претходна истраживања. Нека од претходних истраживања која стоје у најближој вези са овом дисертацијом тичу се категоризације, семантичког примовања, и психолингвистичких приступа изучавању појмовне метафоре.</w:t>
            </w:r>
            <w:r w:rsidR="007F69C9" w:rsidRPr="006B4F67">
              <w:rPr>
                <w:sz w:val="22"/>
                <w:szCs w:val="22"/>
                <w:lang w:val="sr-Cyrl-RS"/>
              </w:rPr>
              <w:t xml:space="preserve"> </w:t>
            </w:r>
            <w:r w:rsidRPr="00824A6D">
              <w:rPr>
                <w:sz w:val="22"/>
                <w:szCs w:val="22"/>
                <w:lang w:val="sr-Cyrl-RS"/>
              </w:rPr>
              <w:t xml:space="preserve">У трећем поглављу, </w:t>
            </w:r>
            <w:r w:rsidRPr="00824A6D">
              <w:rPr>
                <w:i/>
                <w:iCs/>
                <w:sz w:val="22"/>
                <w:szCs w:val="22"/>
                <w:lang w:val="sr-Cyrl-RS"/>
              </w:rPr>
              <w:t>Corpus analysis</w:t>
            </w:r>
            <w:r w:rsidRPr="00824A6D">
              <w:rPr>
                <w:sz w:val="22"/>
                <w:szCs w:val="22"/>
                <w:lang w:val="sr-Cyrl-RS"/>
              </w:rPr>
              <w:t>, описана је методологија, циљеви, и истраживачка питања која се тичу овог дела истраживања. Након тога аутор је најпре спровео квантитативно-квалитативну анализу појединачних метафоричких израза, а потом и гроздова метафоричких израза. На основу овог материјала одабрани су и стимулуси који су касније коришћени у експериментима. Поглавље се завршава дискусијом и одговорима на претходно наведена истраживачка питања.</w:t>
            </w:r>
            <w:r w:rsidR="009E4B26" w:rsidRPr="006B4F67">
              <w:rPr>
                <w:sz w:val="22"/>
                <w:szCs w:val="22"/>
                <w:lang w:val="sr-Cyrl-RS"/>
              </w:rPr>
              <w:t xml:space="preserve"> </w:t>
            </w:r>
          </w:p>
          <w:p w14:paraId="7CAB284D" w14:textId="5E0135FE" w:rsidR="007A417C" w:rsidRPr="006B4F67" w:rsidRDefault="007A417C" w:rsidP="00824A6D">
            <w:pPr>
              <w:jc w:val="both"/>
              <w:rPr>
                <w:sz w:val="22"/>
                <w:szCs w:val="22"/>
                <w:lang w:val="sr-Cyrl-RS"/>
              </w:rPr>
            </w:pPr>
            <w:r w:rsidRPr="006B4F67">
              <w:rPr>
                <w:sz w:val="22"/>
                <w:szCs w:val="22"/>
                <w:lang w:val="sr-Cyrl-RS"/>
              </w:rPr>
              <w:tab/>
            </w:r>
            <w:r w:rsidR="00824A6D" w:rsidRPr="00824A6D">
              <w:rPr>
                <w:sz w:val="22"/>
                <w:szCs w:val="22"/>
                <w:lang w:val="sr-Cyrl-RS"/>
              </w:rPr>
              <w:t xml:space="preserve">У поглављу </w:t>
            </w:r>
            <w:r w:rsidR="00824A6D" w:rsidRPr="00824A6D">
              <w:rPr>
                <w:i/>
                <w:iCs/>
                <w:sz w:val="22"/>
                <w:szCs w:val="22"/>
                <w:lang w:val="sr-Cyrl-RS"/>
              </w:rPr>
              <w:t>Semantic frame activation in a categorization task</w:t>
            </w:r>
            <w:r w:rsidR="00824A6D" w:rsidRPr="00824A6D">
              <w:rPr>
                <w:sz w:val="22"/>
                <w:szCs w:val="22"/>
                <w:lang w:val="sr-Cyrl-RS"/>
              </w:rPr>
              <w:t xml:space="preserve"> описане су студије нормирања стимулуса, као и прва четири експеримента. Такође, описана је и методологија и наведена су главна истраживачка питања за сваки од експеримената. У сва четири експеримента тестирана је брзина реакције у задатку категоризација при примовању у конгруентном метафоричком, конгруентом дословном, и неконгруентном услову. Након сваког експеримента представљени су резултати квантитативне и квалитативне анализе, као и поређење резултата првог и другог, и трећег и четвртог експеримента. Поглавље се завршава дискусијом добијених резултата и одговорима на главна истраживачка питања.</w:t>
            </w:r>
            <w:r w:rsidR="00AB7825" w:rsidRPr="006B4F67">
              <w:rPr>
                <w:sz w:val="22"/>
                <w:szCs w:val="22"/>
                <w:lang w:val="sr-Cyrl-RS"/>
              </w:rPr>
              <w:t xml:space="preserve"> </w:t>
            </w:r>
            <w:r w:rsidR="00824A6D" w:rsidRPr="00824A6D">
              <w:rPr>
                <w:sz w:val="22"/>
                <w:szCs w:val="22"/>
                <w:lang w:val="sr-Cyrl-RS"/>
              </w:rPr>
              <w:t xml:space="preserve">У петом поглављу, </w:t>
            </w:r>
            <w:r w:rsidR="00824A6D" w:rsidRPr="00824A6D">
              <w:rPr>
                <w:i/>
                <w:iCs/>
                <w:sz w:val="22"/>
                <w:szCs w:val="22"/>
                <w:lang w:val="sr-Cyrl-RS"/>
              </w:rPr>
              <w:t>Contextual aptness of metaphorical expressions</w:t>
            </w:r>
            <w:r w:rsidR="00824A6D" w:rsidRPr="00824A6D">
              <w:rPr>
                <w:sz w:val="22"/>
                <w:szCs w:val="22"/>
                <w:lang w:val="sr-Cyrl-RS"/>
              </w:rPr>
              <w:t>, описане су студије нормирања и експерименти 5 и 6 у којима је тестирана прилагођеност метафоричких израза контексту приликом конгрунетног метафоричког, конгруентног дословног, и неконгруентног примовања. Такође, описана је и методологија и наведена су главна истраживачка питања. Након сваког експеримента приказани су резултати квантитативне и квалитативне анализе, док се поглавље завршава дискусијом и одговорима на истраживачка питања.</w:t>
            </w:r>
            <w:r w:rsidR="00AB7825" w:rsidRPr="006B4F67">
              <w:rPr>
                <w:sz w:val="22"/>
                <w:szCs w:val="22"/>
                <w:lang w:val="sr-Cyrl-RS"/>
              </w:rPr>
              <w:t xml:space="preserve"> П</w:t>
            </w:r>
            <w:r w:rsidR="00824A6D" w:rsidRPr="00824A6D">
              <w:rPr>
                <w:sz w:val="22"/>
                <w:szCs w:val="22"/>
                <w:lang w:val="sr-Cyrl-RS"/>
              </w:rPr>
              <w:t>оглављ</w:t>
            </w:r>
            <w:r w:rsidR="00AB7825" w:rsidRPr="006B4F67">
              <w:rPr>
                <w:sz w:val="22"/>
                <w:szCs w:val="22"/>
                <w:lang w:val="sr-Cyrl-RS"/>
              </w:rPr>
              <w:t>е</w:t>
            </w:r>
            <w:r w:rsidR="00824A6D" w:rsidRPr="00824A6D">
              <w:rPr>
                <w:sz w:val="22"/>
                <w:szCs w:val="22"/>
                <w:lang w:val="sr-Cyrl-RS"/>
              </w:rPr>
              <w:t xml:space="preserve"> </w:t>
            </w:r>
            <w:r w:rsidR="00824A6D" w:rsidRPr="00824A6D">
              <w:rPr>
                <w:i/>
                <w:iCs/>
                <w:sz w:val="22"/>
                <w:szCs w:val="22"/>
                <w:lang w:val="sr-Cyrl-RS"/>
              </w:rPr>
              <w:t>General discussion</w:t>
            </w:r>
            <w:r w:rsidR="00824A6D" w:rsidRPr="00824A6D">
              <w:rPr>
                <w:sz w:val="22"/>
                <w:szCs w:val="22"/>
                <w:lang w:val="sr-Cyrl-RS"/>
              </w:rPr>
              <w:t xml:space="preserve"> још једном систематиз</w:t>
            </w:r>
            <w:r w:rsidR="00AB7825" w:rsidRPr="006B4F67">
              <w:rPr>
                <w:sz w:val="22"/>
                <w:szCs w:val="22"/>
                <w:lang w:val="sr-Cyrl-RS"/>
              </w:rPr>
              <w:t>ује</w:t>
            </w:r>
            <w:r w:rsidR="00824A6D" w:rsidRPr="00824A6D">
              <w:rPr>
                <w:sz w:val="22"/>
                <w:szCs w:val="22"/>
                <w:lang w:val="sr-Cyrl-RS"/>
              </w:rPr>
              <w:t xml:space="preserve"> </w:t>
            </w:r>
            <w:r w:rsidR="005151AF" w:rsidRPr="00824A6D">
              <w:rPr>
                <w:sz w:val="22"/>
                <w:szCs w:val="22"/>
                <w:lang w:val="sr-Cyrl-RS"/>
              </w:rPr>
              <w:t>одговор</w:t>
            </w:r>
            <w:r w:rsidR="005151AF">
              <w:rPr>
                <w:sz w:val="22"/>
                <w:szCs w:val="22"/>
              </w:rPr>
              <w:t>e</w:t>
            </w:r>
            <w:r w:rsidR="005151AF" w:rsidRPr="00824A6D">
              <w:rPr>
                <w:sz w:val="22"/>
                <w:szCs w:val="22"/>
                <w:lang w:val="sr-Cyrl-RS"/>
              </w:rPr>
              <w:t xml:space="preserve"> </w:t>
            </w:r>
            <w:r w:rsidR="00824A6D" w:rsidRPr="00824A6D">
              <w:rPr>
                <w:sz w:val="22"/>
                <w:szCs w:val="22"/>
                <w:lang w:val="sr-Cyrl-RS"/>
              </w:rPr>
              <w:t>на истраживачка питања која се тичу анализе корпуса и сваког од експеримената из четвртог и петог поглавља, а наглашена је и веза са резултатима претходних истраживања и доминантним теоријским схватањима у литератури.</w:t>
            </w:r>
            <w:r w:rsidR="00AB7825" w:rsidRPr="006B4F67">
              <w:rPr>
                <w:sz w:val="22"/>
                <w:szCs w:val="22"/>
                <w:lang w:val="sr-Cyrl-RS"/>
              </w:rPr>
              <w:t xml:space="preserve"> </w:t>
            </w:r>
          </w:p>
          <w:p w14:paraId="0DBDB223" w14:textId="4D36109A" w:rsidR="00824A6D" w:rsidRPr="006B4F67" w:rsidRDefault="007A417C" w:rsidP="00824A6D">
            <w:pPr>
              <w:jc w:val="both"/>
              <w:rPr>
                <w:sz w:val="22"/>
                <w:szCs w:val="22"/>
                <w:lang w:val="sr-Cyrl-RS"/>
              </w:rPr>
            </w:pPr>
            <w:r w:rsidRPr="006B4F67">
              <w:rPr>
                <w:sz w:val="22"/>
                <w:szCs w:val="22"/>
                <w:lang w:val="sr-Cyrl-RS"/>
              </w:rPr>
              <w:tab/>
            </w:r>
            <w:r w:rsidR="00824A6D" w:rsidRPr="00824A6D">
              <w:rPr>
                <w:sz w:val="22"/>
                <w:szCs w:val="22"/>
                <w:lang w:val="sr-Cyrl-RS"/>
              </w:rPr>
              <w:t xml:space="preserve">У завршном поглављу, </w:t>
            </w:r>
            <w:r w:rsidR="00824A6D" w:rsidRPr="00824A6D">
              <w:rPr>
                <w:i/>
                <w:iCs/>
                <w:sz w:val="22"/>
                <w:szCs w:val="22"/>
                <w:lang w:val="sr-Cyrl-RS"/>
              </w:rPr>
              <w:t>Conclusions, limitations, and future research</w:t>
            </w:r>
            <w:r w:rsidR="00824A6D" w:rsidRPr="00824A6D">
              <w:rPr>
                <w:sz w:val="22"/>
                <w:szCs w:val="22"/>
                <w:lang w:val="sr-Cyrl-RS"/>
              </w:rPr>
              <w:t>, наглашени су најзначајнији закључци добијени на основу експеримената, нека од методолошких ограничења, као и могућности за даља истраживања.</w:t>
            </w:r>
            <w:r w:rsidR="00AB7825" w:rsidRPr="006B4F67">
              <w:rPr>
                <w:sz w:val="22"/>
                <w:szCs w:val="22"/>
                <w:lang w:val="sr-Cyrl-RS"/>
              </w:rPr>
              <w:t xml:space="preserve"> </w:t>
            </w:r>
            <w:r w:rsidR="00824A6D" w:rsidRPr="006B4F67">
              <w:rPr>
                <w:sz w:val="22"/>
                <w:szCs w:val="22"/>
                <w:lang w:val="sr-Cyrl-RS"/>
              </w:rPr>
              <w:t xml:space="preserve">На крају дисертације наведен је списак речничких извора, новинских чланака који сачињавају корпус, и референци, а наведена су и 3 додатка </w:t>
            </w:r>
            <w:r w:rsidR="00824A6D" w:rsidRPr="006B4F67">
              <w:rPr>
                <w:i/>
                <w:iCs/>
                <w:sz w:val="22"/>
                <w:szCs w:val="22"/>
                <w:lang w:val="sr-Cyrl-RS"/>
              </w:rPr>
              <w:t>(Appendix A, B, C)</w:t>
            </w:r>
            <w:r w:rsidR="00824A6D" w:rsidRPr="006B4F67">
              <w:rPr>
                <w:sz w:val="22"/>
                <w:szCs w:val="22"/>
                <w:lang w:val="sr-Cyrl-RS"/>
              </w:rPr>
              <w:t xml:space="preserve"> која садрже </w:t>
            </w:r>
            <w:r w:rsidR="009E4B26" w:rsidRPr="006B4F67">
              <w:rPr>
                <w:sz w:val="22"/>
                <w:szCs w:val="22"/>
                <w:lang w:val="sr-Cyrl-RS"/>
              </w:rPr>
              <w:t xml:space="preserve">целокупне </w:t>
            </w:r>
            <w:r w:rsidR="00824A6D" w:rsidRPr="006B4F67">
              <w:rPr>
                <w:sz w:val="22"/>
                <w:szCs w:val="22"/>
                <w:lang w:val="sr-Cyrl-RS"/>
              </w:rPr>
              <w:t>резултате упитника коришћених приликом нормирања стимулуса.</w:t>
            </w:r>
          </w:p>
        </w:tc>
      </w:tr>
      <w:tr w:rsidR="00824A6D" w:rsidRPr="006B4F67" w14:paraId="7E3DF00F" w14:textId="77777777" w:rsidTr="00743CA1">
        <w:trPr>
          <w:trHeight w:val="340"/>
          <w:jc w:val="center"/>
        </w:trPr>
        <w:tc>
          <w:tcPr>
            <w:tcW w:w="10881" w:type="dxa"/>
            <w:gridSpan w:val="12"/>
            <w:shd w:val="clear" w:color="auto" w:fill="D9D9D9"/>
            <w:vAlign w:val="center"/>
          </w:tcPr>
          <w:p w14:paraId="41FC11A6" w14:textId="77777777" w:rsidR="00824A6D" w:rsidRPr="006B4F67" w:rsidRDefault="00824A6D" w:rsidP="00824A6D">
            <w:pPr>
              <w:jc w:val="center"/>
              <w:rPr>
                <w:b/>
                <w:lang w:val="sr-Cyrl-RS"/>
              </w:rPr>
            </w:pPr>
            <w:r w:rsidRPr="006B4F67">
              <w:rPr>
                <w:b/>
                <w:lang w:val="sr-Cyrl-RS"/>
              </w:rPr>
              <w:t>ВРЕДНОВАЊЕ РЕЗУЛТАТА ДОКТОРСКЕ ДИСЕРТАЦИЈЕ</w:t>
            </w:r>
          </w:p>
        </w:tc>
      </w:tr>
      <w:tr w:rsidR="00824A6D" w:rsidRPr="006B4F67" w14:paraId="186B92FE" w14:textId="77777777" w:rsidTr="00743CA1">
        <w:trPr>
          <w:trHeight w:val="227"/>
          <w:jc w:val="center"/>
        </w:trPr>
        <w:tc>
          <w:tcPr>
            <w:tcW w:w="10881" w:type="dxa"/>
            <w:gridSpan w:val="12"/>
            <w:shd w:val="clear" w:color="auto" w:fill="F3F3F3"/>
            <w:vAlign w:val="center"/>
          </w:tcPr>
          <w:p w14:paraId="292F58BA" w14:textId="77777777" w:rsidR="00824A6D" w:rsidRPr="006B4F67" w:rsidRDefault="00824A6D" w:rsidP="00824A6D">
            <w:pPr>
              <w:rPr>
                <w:sz w:val="22"/>
                <w:szCs w:val="22"/>
                <w:lang w:val="sr-Cyrl-RS"/>
              </w:rPr>
            </w:pPr>
            <w:r w:rsidRPr="006B4F67">
              <w:rPr>
                <w:sz w:val="22"/>
                <w:szCs w:val="22"/>
                <w:lang w:val="sr-Cyrl-RS"/>
              </w:rPr>
              <w:t xml:space="preserve">Ниво остваривања постављених циљева из пријаве докторске дисертације </w:t>
            </w:r>
            <w:r w:rsidRPr="006B4F67">
              <w:rPr>
                <w:color w:val="808080"/>
                <w:sz w:val="22"/>
                <w:szCs w:val="22"/>
                <w:lang w:val="sr-Cyrl-RS"/>
              </w:rPr>
              <w:t>(</w:t>
            </w:r>
            <w:r w:rsidRPr="006B4F67">
              <w:rPr>
                <w:i/>
                <w:color w:val="808080"/>
                <w:sz w:val="22"/>
                <w:szCs w:val="22"/>
                <w:lang w:val="sr-Cyrl-RS"/>
              </w:rPr>
              <w:t>до 200 речи</w:t>
            </w:r>
            <w:r w:rsidRPr="006B4F67">
              <w:rPr>
                <w:color w:val="808080"/>
                <w:sz w:val="22"/>
                <w:szCs w:val="22"/>
                <w:lang w:val="sr-Cyrl-RS"/>
              </w:rPr>
              <w:t>)</w:t>
            </w:r>
          </w:p>
        </w:tc>
      </w:tr>
      <w:tr w:rsidR="00824A6D" w:rsidRPr="006B4F67" w14:paraId="0B086DB6" w14:textId="77777777" w:rsidTr="00743CA1">
        <w:trPr>
          <w:trHeight w:val="567"/>
          <w:jc w:val="center"/>
        </w:trPr>
        <w:tc>
          <w:tcPr>
            <w:tcW w:w="10881" w:type="dxa"/>
            <w:gridSpan w:val="12"/>
          </w:tcPr>
          <w:p w14:paraId="71F2CF52" w14:textId="6F812DCF" w:rsidR="00824A6D" w:rsidRPr="006B4F67" w:rsidRDefault="00824A6D" w:rsidP="00DA7746">
            <w:pPr>
              <w:jc w:val="both"/>
              <w:rPr>
                <w:sz w:val="22"/>
                <w:szCs w:val="22"/>
                <w:lang w:val="sr-Cyrl-RS"/>
              </w:rPr>
            </w:pPr>
            <w:r w:rsidRPr="006B4F67">
              <w:rPr>
                <w:sz w:val="22"/>
                <w:szCs w:val="22"/>
                <w:lang w:val="sr-Cyrl-RS"/>
              </w:rPr>
              <w:tab/>
            </w:r>
            <w:r w:rsidR="00DA7746" w:rsidRPr="006B4F67">
              <w:rPr>
                <w:sz w:val="22"/>
                <w:szCs w:val="22"/>
                <w:lang w:val="sr-Cyrl-RS"/>
              </w:rPr>
              <w:t>Кандидат је за основни циљ дисертације поставио испитивање утицаја контекста на изградњу и разумевање метафора, на теоријском и емпиријском нивоу, при чему је главна хипотеза да ће примовање (не)одговарајућим контекстом изазвати разлике у интерпретацији метафоричних исказа код испитаника, изворних говорника српског језика, на материјалу политичког дискурса. Кандидат је поставио и следеће конкретније циљеве: (1) Да се утврди који су типови индивидуалних појмовних метафора најфреквентнији у датом корпусу, као и који типови појмовних метафора су најфреквентнији у идентификованим гроздовима (енгл.</w:t>
            </w:r>
            <w:r w:rsidR="00DA7746" w:rsidRPr="006B4F67">
              <w:rPr>
                <w:i/>
                <w:iCs/>
                <w:sz w:val="22"/>
                <w:szCs w:val="22"/>
                <w:lang w:val="sr-Cyrl-RS"/>
              </w:rPr>
              <w:t xml:space="preserve"> clusters</w:t>
            </w:r>
            <w:r w:rsidR="00DA7746" w:rsidRPr="006B4F67">
              <w:rPr>
                <w:sz w:val="22"/>
                <w:szCs w:val="22"/>
                <w:lang w:val="sr-Cyrl-RS"/>
              </w:rPr>
              <w:t>); (2) Да се утврди да ли постоји разлика у нивоу активације изворног и циљног домена код појмовних метафора које одговарају појмовним кључевима (енгл.</w:t>
            </w:r>
            <w:r w:rsidR="00DA7746" w:rsidRPr="006B4F67">
              <w:rPr>
                <w:i/>
                <w:iCs/>
                <w:sz w:val="22"/>
                <w:szCs w:val="22"/>
                <w:lang w:val="sr-Cyrl-RS"/>
              </w:rPr>
              <w:t xml:space="preserve"> conceptual keys</w:t>
            </w:r>
            <w:r w:rsidR="00DA7746" w:rsidRPr="006B4F67">
              <w:rPr>
                <w:sz w:val="22"/>
                <w:szCs w:val="22"/>
                <w:lang w:val="sr-Cyrl-RS"/>
              </w:rPr>
              <w:t xml:space="preserve">) </w:t>
            </w:r>
            <w:r w:rsidR="00AA0557" w:rsidRPr="006B4F67">
              <w:rPr>
                <w:smallCaps/>
                <w:sz w:val="22"/>
                <w:szCs w:val="22"/>
                <w:lang w:val="sr-Cyrl-RS"/>
              </w:rPr>
              <w:t>политика је сукоб</w:t>
            </w:r>
            <w:r w:rsidR="00DA7746" w:rsidRPr="006B4F67">
              <w:rPr>
                <w:sz w:val="22"/>
                <w:szCs w:val="22"/>
                <w:lang w:val="sr-Cyrl-RS"/>
              </w:rPr>
              <w:t xml:space="preserve"> и</w:t>
            </w:r>
            <w:r w:rsidR="007F69C9" w:rsidRPr="006B4F67">
              <w:rPr>
                <w:sz w:val="22"/>
                <w:szCs w:val="22"/>
                <w:lang w:val="sr-Cyrl-RS"/>
              </w:rPr>
              <w:t xml:space="preserve"> </w:t>
            </w:r>
            <w:r w:rsidR="00AA0557" w:rsidRPr="006B4F67">
              <w:rPr>
                <w:smallCaps/>
                <w:sz w:val="22"/>
                <w:szCs w:val="22"/>
                <w:lang w:val="sr-Cyrl-RS"/>
              </w:rPr>
              <w:t>политика је кретање</w:t>
            </w:r>
            <w:r w:rsidR="00DA7746" w:rsidRPr="006B4F67">
              <w:rPr>
                <w:sz w:val="22"/>
                <w:szCs w:val="22"/>
                <w:lang w:val="sr-Cyrl-RS"/>
              </w:rPr>
              <w:t>; (3) Да се утврди како манипулација контекстом који се користи за примовање утиче на брзину одлуке испитаника и њихове оцене у вези са прилагођеношћу циљних метафоричких израза датом контексту; (4) Да се испита психолошка реалност семантичког оквира као теоријског конструкта; (5) Да се повећа ниво експланаторне валидности теоријског модела теорије оквира из когнитивне лингвистике.</w:t>
            </w:r>
            <w:r w:rsidRPr="006B4F67">
              <w:rPr>
                <w:sz w:val="22"/>
                <w:szCs w:val="22"/>
                <w:lang w:val="sr-Cyrl-RS"/>
              </w:rPr>
              <w:tab/>
            </w:r>
            <w:r w:rsidR="00AA0557" w:rsidRPr="006B4F67">
              <w:rPr>
                <w:sz w:val="22"/>
                <w:szCs w:val="22"/>
                <w:lang w:val="sr-Cyrl-RS"/>
              </w:rPr>
              <w:t>Може се закључити да су п</w:t>
            </w:r>
            <w:r w:rsidRPr="006B4F67">
              <w:rPr>
                <w:sz w:val="22"/>
                <w:szCs w:val="22"/>
                <w:lang w:val="sr-Cyrl-RS"/>
              </w:rPr>
              <w:t xml:space="preserve">остављени циљеви у </w:t>
            </w:r>
            <w:r w:rsidR="007A417C" w:rsidRPr="006B4F67">
              <w:rPr>
                <w:sz w:val="22"/>
                <w:szCs w:val="22"/>
                <w:lang w:val="sr-Cyrl-RS"/>
              </w:rPr>
              <w:t>великој</w:t>
            </w:r>
            <w:r w:rsidRPr="006B4F67">
              <w:rPr>
                <w:sz w:val="22"/>
                <w:szCs w:val="22"/>
                <w:lang w:val="sr-Cyrl-RS"/>
              </w:rPr>
              <w:t xml:space="preserve"> мери испуњени и на постављена питања је одговорено, </w:t>
            </w:r>
            <w:r w:rsidR="00AA0557" w:rsidRPr="006B4F67">
              <w:rPr>
                <w:sz w:val="22"/>
                <w:szCs w:val="22"/>
                <w:lang w:val="sr-Cyrl-RS"/>
              </w:rPr>
              <w:t xml:space="preserve">при чему су емпиријске процедуре показале да лексичко-семантички садржај заиста активира семантичке оквире који су у складу са оквирима извора и циља, као и да је већи ниво активације забележен код </w:t>
            </w:r>
            <w:r w:rsidR="007A417C" w:rsidRPr="006B4F67">
              <w:rPr>
                <w:sz w:val="22"/>
                <w:szCs w:val="22"/>
                <w:lang w:val="sr-Cyrl-RS"/>
              </w:rPr>
              <w:lastRenderedPageBreak/>
              <w:t xml:space="preserve">циљних </w:t>
            </w:r>
            <w:r w:rsidR="00AA0557" w:rsidRPr="006B4F67">
              <w:rPr>
                <w:sz w:val="22"/>
                <w:szCs w:val="22"/>
                <w:lang w:val="sr-Cyrl-RS"/>
              </w:rPr>
              <w:t>делова концептуалних кључева</w:t>
            </w:r>
            <w:r w:rsidR="007A417C" w:rsidRPr="006B4F67">
              <w:rPr>
                <w:sz w:val="22"/>
                <w:szCs w:val="22"/>
                <w:lang w:val="sr-Cyrl-RS"/>
              </w:rPr>
              <w:t>, тј. оних примова</w:t>
            </w:r>
            <w:r w:rsidR="00AA0557" w:rsidRPr="006B4F67">
              <w:rPr>
                <w:sz w:val="22"/>
                <w:szCs w:val="22"/>
                <w:lang w:val="sr-Cyrl-RS"/>
              </w:rPr>
              <w:t xml:space="preserve"> који су се односили на појам </w:t>
            </w:r>
            <w:r w:rsidR="00AA0557" w:rsidRPr="006B4F67">
              <w:rPr>
                <w:smallCaps/>
                <w:sz w:val="22"/>
                <w:szCs w:val="22"/>
                <w:lang w:val="sr-Cyrl-RS"/>
              </w:rPr>
              <w:t>политике</w:t>
            </w:r>
            <w:r w:rsidR="00AA0557" w:rsidRPr="006B4F67">
              <w:rPr>
                <w:sz w:val="22"/>
                <w:szCs w:val="22"/>
                <w:lang w:val="sr-Cyrl-RS"/>
              </w:rPr>
              <w:t xml:space="preserve">. Неконгруентно примовање условило је дужа времена реакције и у случају задатака у прва четири експеримента, док је </w:t>
            </w:r>
            <w:r w:rsidR="007A417C" w:rsidRPr="006B4F67">
              <w:rPr>
                <w:sz w:val="22"/>
                <w:szCs w:val="22"/>
                <w:lang w:val="sr-Cyrl-RS"/>
              </w:rPr>
              <w:t>у друга два експеримента неконгруентност условила краће време реакције, јер су ови примови због своје непогодности брзо одбацивани. Коначно, за сваку похвалу је и то што се кандидат критички осврће на сва ограничења свог приступа и предлаже правце даљег рада.</w:t>
            </w:r>
          </w:p>
        </w:tc>
      </w:tr>
      <w:tr w:rsidR="00824A6D" w:rsidRPr="006B4F67" w14:paraId="1B2EB47B" w14:textId="77777777" w:rsidTr="00743CA1">
        <w:trPr>
          <w:trHeight w:val="227"/>
          <w:jc w:val="center"/>
        </w:trPr>
        <w:tc>
          <w:tcPr>
            <w:tcW w:w="10881" w:type="dxa"/>
            <w:gridSpan w:val="12"/>
            <w:shd w:val="clear" w:color="auto" w:fill="F3F3F3"/>
            <w:vAlign w:val="center"/>
          </w:tcPr>
          <w:p w14:paraId="5D658867" w14:textId="77777777" w:rsidR="00824A6D" w:rsidRPr="006B4F67" w:rsidRDefault="00824A6D" w:rsidP="00824A6D">
            <w:pPr>
              <w:rPr>
                <w:sz w:val="22"/>
                <w:szCs w:val="22"/>
                <w:lang w:val="sr-Cyrl-RS"/>
              </w:rPr>
            </w:pPr>
            <w:r w:rsidRPr="006B4F67">
              <w:rPr>
                <w:sz w:val="22"/>
                <w:szCs w:val="22"/>
                <w:lang w:val="sr-Cyrl-RS"/>
              </w:rPr>
              <w:lastRenderedPageBreak/>
              <w:t xml:space="preserve">Вредновање значаја и научног доприноса резултата дисертације </w:t>
            </w:r>
            <w:r w:rsidRPr="006B4F67">
              <w:rPr>
                <w:color w:val="808080"/>
                <w:sz w:val="22"/>
                <w:szCs w:val="22"/>
                <w:lang w:val="sr-Cyrl-RS"/>
              </w:rPr>
              <w:t>(</w:t>
            </w:r>
            <w:r w:rsidRPr="006B4F67">
              <w:rPr>
                <w:i/>
                <w:color w:val="808080"/>
                <w:sz w:val="22"/>
                <w:szCs w:val="22"/>
                <w:lang w:val="sr-Cyrl-RS"/>
              </w:rPr>
              <w:t>до 200 речи</w:t>
            </w:r>
            <w:r w:rsidRPr="006B4F67">
              <w:rPr>
                <w:color w:val="808080"/>
                <w:sz w:val="22"/>
                <w:szCs w:val="22"/>
                <w:lang w:val="sr-Cyrl-RS"/>
              </w:rPr>
              <w:t>)</w:t>
            </w:r>
          </w:p>
        </w:tc>
      </w:tr>
      <w:tr w:rsidR="00824A6D" w:rsidRPr="006B4F67" w14:paraId="366D3CFE" w14:textId="77777777" w:rsidTr="00743CA1">
        <w:trPr>
          <w:trHeight w:val="567"/>
          <w:jc w:val="center"/>
        </w:trPr>
        <w:tc>
          <w:tcPr>
            <w:tcW w:w="10881" w:type="dxa"/>
            <w:gridSpan w:val="12"/>
          </w:tcPr>
          <w:p w14:paraId="69CE9D16" w14:textId="32DE5102" w:rsidR="00824A6D" w:rsidRPr="006B4F67" w:rsidRDefault="00824A6D" w:rsidP="00824A6D">
            <w:pPr>
              <w:jc w:val="both"/>
              <w:rPr>
                <w:sz w:val="22"/>
                <w:szCs w:val="22"/>
                <w:lang w:val="sr-Cyrl-RS"/>
              </w:rPr>
            </w:pPr>
            <w:r w:rsidRPr="006B4F67">
              <w:rPr>
                <w:sz w:val="22"/>
                <w:szCs w:val="22"/>
                <w:lang w:val="sr-Cyrl-RS"/>
              </w:rPr>
              <w:tab/>
            </w:r>
            <w:r w:rsidR="002470B5" w:rsidRPr="006B4F67">
              <w:rPr>
                <w:sz w:val="22"/>
                <w:szCs w:val="22"/>
                <w:lang w:val="sr-Cyrl-RS"/>
              </w:rPr>
              <w:t>Д</w:t>
            </w:r>
            <w:r w:rsidRPr="006B4F67">
              <w:rPr>
                <w:sz w:val="22"/>
                <w:szCs w:val="22"/>
                <w:lang w:val="sr-Cyrl-RS"/>
              </w:rPr>
              <w:t xml:space="preserve">окторска дисертација </w:t>
            </w:r>
            <w:r w:rsidR="002470B5" w:rsidRPr="006B4F67">
              <w:rPr>
                <w:i/>
                <w:sz w:val="22"/>
                <w:szCs w:val="22"/>
                <w:lang w:val="sr-Cyrl-RS"/>
              </w:rPr>
              <w:t>Semantic Frame Activation and Contextual Aptness of Metaphorical Expressions</w:t>
            </w:r>
            <w:r w:rsidR="002470B5" w:rsidRPr="006B4F67">
              <w:rPr>
                <w:sz w:val="22"/>
                <w:szCs w:val="22"/>
                <w:lang w:val="sr-Cyrl-RS"/>
              </w:rPr>
              <w:t xml:space="preserve"> представља значајан </w:t>
            </w:r>
            <w:r w:rsidRPr="006B4F67">
              <w:rPr>
                <w:sz w:val="22"/>
                <w:szCs w:val="22"/>
                <w:lang w:val="sr-Cyrl-RS"/>
              </w:rPr>
              <w:t>допринос</w:t>
            </w:r>
            <w:r w:rsidR="002470B5" w:rsidRPr="006B4F67">
              <w:rPr>
                <w:sz w:val="22"/>
                <w:szCs w:val="22"/>
                <w:lang w:val="sr-Cyrl-RS"/>
              </w:rPr>
              <w:t xml:space="preserve"> емпиријским напорима да се неки од елемената когнитивне лингвистике испитају кроз квантитативну и квалитативну анализу корпуса и резултата добијених у раду са испитаницима. Њен значај је и у томе што се</w:t>
            </w:r>
            <w:r w:rsidR="00DC21A5" w:rsidRPr="006B4F67">
              <w:rPr>
                <w:sz w:val="22"/>
                <w:szCs w:val="22"/>
                <w:lang w:val="sr-Cyrl-RS"/>
              </w:rPr>
              <w:t xml:space="preserve">, користећи </w:t>
            </w:r>
            <w:r w:rsidR="000B58B1">
              <w:rPr>
                <w:sz w:val="22"/>
                <w:szCs w:val="22"/>
                <w:lang w:val="sr-Cyrl-RS"/>
              </w:rPr>
              <w:t xml:space="preserve">оригиналан и доследан </w:t>
            </w:r>
            <w:r w:rsidR="00DC21A5" w:rsidRPr="006B4F67">
              <w:rPr>
                <w:sz w:val="22"/>
                <w:szCs w:val="22"/>
                <w:lang w:val="sr-Cyrl-RS"/>
              </w:rPr>
              <w:t>методолошки и емпиријски приступ,</w:t>
            </w:r>
            <w:r w:rsidR="002470B5" w:rsidRPr="006B4F67">
              <w:rPr>
                <w:sz w:val="22"/>
                <w:szCs w:val="22"/>
                <w:lang w:val="sr-Cyrl-RS"/>
              </w:rPr>
              <w:t xml:space="preserve"> бави сложеним односом контекста и метафоричности, испитује значај семантичких оквира за изградњу метафора у политичком дискурсу, и проверава утицај конгруентних и неконгруентних контекста на разумевање метафора.</w:t>
            </w:r>
            <w:r w:rsidR="007F69C9" w:rsidRPr="006B4F67">
              <w:rPr>
                <w:sz w:val="22"/>
                <w:szCs w:val="22"/>
                <w:lang w:val="sr-Cyrl-RS"/>
              </w:rPr>
              <w:t xml:space="preserve"> Како су претходни приступи проучавању изградње значења посредством семантичких оквира били превасходно интерпретативног карактера (било у виду анализе појединачних примера, мањих или у новије време и већих корпуса), у циљу повећања експланаторне валидности целокупног теоретског модела ова дисертација има експериментални приступ и базира се на раду са испитаницима (иако један њен део има корпусни карактер). Као таква она добрим делом потврђује психолошку реалност семантичког оквира као теоријског конструкта и испитује утицај уоквиравања и контекстуализације који су се реализовали посредством примовања. Требало би нагласити да дисертација садржи и изузетан теоријских преглед концепата битних не само за овај подухват него за когнитивну лингвистику и психолингвистику уопште, тако да ће представља</w:t>
            </w:r>
            <w:r w:rsidR="00FD6835">
              <w:rPr>
                <w:sz w:val="22"/>
                <w:szCs w:val="22"/>
                <w:lang w:val="sr-Cyrl-RS"/>
              </w:rPr>
              <w:t>ти</w:t>
            </w:r>
            <w:r w:rsidR="007F69C9" w:rsidRPr="006B4F67">
              <w:rPr>
                <w:sz w:val="22"/>
                <w:szCs w:val="22"/>
                <w:lang w:val="sr-Cyrl-RS"/>
              </w:rPr>
              <w:t xml:space="preserve"> одличну уводну литературу уколико кандидат одлучи да тај део дисертације понуди шир</w:t>
            </w:r>
            <w:r w:rsidR="006B4F67">
              <w:rPr>
                <w:sz w:val="22"/>
                <w:szCs w:val="22"/>
                <w:lang w:val="sr-Cyrl-RS"/>
              </w:rPr>
              <w:t>ој публици</w:t>
            </w:r>
            <w:r w:rsidR="007F69C9" w:rsidRPr="006B4F67">
              <w:rPr>
                <w:sz w:val="22"/>
                <w:szCs w:val="22"/>
                <w:lang w:val="sr-Cyrl-RS"/>
              </w:rPr>
              <w:t>. Имајући у виду све наведено, укупан научни допринос резултата ове дисертације оцењује се као висок.</w:t>
            </w:r>
          </w:p>
        </w:tc>
      </w:tr>
      <w:tr w:rsidR="00824A6D" w:rsidRPr="006B4F67" w14:paraId="3108C073" w14:textId="77777777" w:rsidTr="00743CA1">
        <w:trPr>
          <w:trHeight w:val="227"/>
          <w:jc w:val="center"/>
        </w:trPr>
        <w:tc>
          <w:tcPr>
            <w:tcW w:w="10881" w:type="dxa"/>
            <w:gridSpan w:val="12"/>
            <w:shd w:val="clear" w:color="auto" w:fill="F3F3F3"/>
            <w:vAlign w:val="center"/>
          </w:tcPr>
          <w:p w14:paraId="17C9BA9C" w14:textId="77777777" w:rsidR="00824A6D" w:rsidRPr="006B4F67" w:rsidRDefault="00824A6D" w:rsidP="00824A6D">
            <w:pPr>
              <w:rPr>
                <w:sz w:val="22"/>
                <w:szCs w:val="22"/>
                <w:lang w:val="sr-Cyrl-RS"/>
              </w:rPr>
            </w:pPr>
            <w:r w:rsidRPr="006B4F67">
              <w:rPr>
                <w:sz w:val="22"/>
                <w:szCs w:val="22"/>
                <w:lang w:val="sr-Cyrl-RS"/>
              </w:rPr>
              <w:t xml:space="preserve">Оцена самосталности научног рада кандидата </w:t>
            </w:r>
            <w:r w:rsidRPr="006B4F67">
              <w:rPr>
                <w:color w:val="808080"/>
                <w:sz w:val="22"/>
                <w:szCs w:val="22"/>
                <w:lang w:val="sr-Cyrl-RS"/>
              </w:rPr>
              <w:t>(</w:t>
            </w:r>
            <w:r w:rsidRPr="006B4F67">
              <w:rPr>
                <w:i/>
                <w:color w:val="808080"/>
                <w:sz w:val="22"/>
                <w:szCs w:val="22"/>
                <w:lang w:val="sr-Cyrl-RS"/>
              </w:rPr>
              <w:t>до 100 речи</w:t>
            </w:r>
            <w:r w:rsidRPr="006B4F67">
              <w:rPr>
                <w:color w:val="808080"/>
                <w:sz w:val="22"/>
                <w:szCs w:val="22"/>
                <w:lang w:val="sr-Cyrl-RS"/>
              </w:rPr>
              <w:t>)</w:t>
            </w:r>
          </w:p>
        </w:tc>
      </w:tr>
      <w:tr w:rsidR="00824A6D" w:rsidRPr="006B4F67" w14:paraId="1F2E3E56" w14:textId="77777777" w:rsidTr="00743CA1">
        <w:trPr>
          <w:trHeight w:val="567"/>
          <w:jc w:val="center"/>
        </w:trPr>
        <w:tc>
          <w:tcPr>
            <w:tcW w:w="10881" w:type="dxa"/>
            <w:gridSpan w:val="12"/>
          </w:tcPr>
          <w:p w14:paraId="37CBC415" w14:textId="166C4997" w:rsidR="00824A6D" w:rsidRPr="006B4F67" w:rsidRDefault="00824A6D" w:rsidP="000B58B1">
            <w:pPr>
              <w:jc w:val="both"/>
              <w:rPr>
                <w:sz w:val="22"/>
                <w:szCs w:val="22"/>
                <w:lang w:val="sr-Cyrl-RS"/>
              </w:rPr>
            </w:pPr>
            <w:r w:rsidRPr="006B4F67">
              <w:rPr>
                <w:sz w:val="22"/>
                <w:szCs w:val="22"/>
                <w:lang w:val="sr-Cyrl-RS"/>
              </w:rPr>
              <w:tab/>
            </w:r>
            <w:r w:rsidR="007A417C" w:rsidRPr="006B4F67">
              <w:rPr>
                <w:sz w:val="22"/>
                <w:szCs w:val="22"/>
                <w:lang w:val="sr-Cyrl-RS"/>
              </w:rPr>
              <w:t xml:space="preserve">Кандидат Владимир Фигар је у </w:t>
            </w:r>
            <w:r w:rsidRPr="006B4F67">
              <w:rPr>
                <w:sz w:val="22"/>
                <w:szCs w:val="22"/>
                <w:lang w:val="sr-Cyrl-RS"/>
              </w:rPr>
              <w:t>току израде докторске дисертације</w:t>
            </w:r>
            <w:r w:rsidR="007A417C" w:rsidRPr="006B4F67">
              <w:rPr>
                <w:sz w:val="22"/>
                <w:szCs w:val="22"/>
                <w:lang w:val="sr-Cyrl-RS"/>
              </w:rPr>
              <w:t xml:space="preserve"> </w:t>
            </w:r>
            <w:r w:rsidR="007A417C" w:rsidRPr="006B4F67">
              <w:rPr>
                <w:i/>
                <w:sz w:val="22"/>
                <w:szCs w:val="22"/>
                <w:lang w:val="sr-Cyrl-RS"/>
              </w:rPr>
              <w:t>Semantic Frame Activation and Contextual Aptness of Metaphorical Expressions</w:t>
            </w:r>
            <w:r w:rsidR="007A417C" w:rsidRPr="006B4F67">
              <w:rPr>
                <w:sz w:val="22"/>
                <w:szCs w:val="22"/>
                <w:lang w:val="sr-Cyrl-RS"/>
              </w:rPr>
              <w:t xml:space="preserve"> </w:t>
            </w:r>
            <w:r w:rsidRPr="006B4F67">
              <w:rPr>
                <w:sz w:val="22"/>
                <w:szCs w:val="22"/>
                <w:lang w:val="sr-Cyrl-RS"/>
              </w:rPr>
              <w:t>показа</w:t>
            </w:r>
            <w:r w:rsidR="007A417C" w:rsidRPr="006B4F67">
              <w:rPr>
                <w:sz w:val="22"/>
                <w:szCs w:val="22"/>
                <w:lang w:val="sr-Cyrl-RS"/>
              </w:rPr>
              <w:t>о</w:t>
            </w:r>
            <w:r w:rsidRPr="006B4F67">
              <w:rPr>
                <w:sz w:val="22"/>
                <w:szCs w:val="22"/>
                <w:lang w:val="sr-Cyrl-RS"/>
              </w:rPr>
              <w:t xml:space="preserve"> </w:t>
            </w:r>
            <w:r w:rsidR="007A417C" w:rsidRPr="006B4F67">
              <w:rPr>
                <w:sz w:val="22"/>
                <w:szCs w:val="22"/>
                <w:lang w:val="sr-Cyrl-RS"/>
              </w:rPr>
              <w:t>изузетно висок степен самосталности,</w:t>
            </w:r>
            <w:r w:rsidRPr="006B4F67">
              <w:rPr>
                <w:sz w:val="22"/>
                <w:szCs w:val="22"/>
                <w:lang w:val="sr-Cyrl-RS"/>
              </w:rPr>
              <w:t xml:space="preserve"> </w:t>
            </w:r>
            <w:r w:rsidR="007A417C" w:rsidRPr="006B4F67">
              <w:rPr>
                <w:sz w:val="22"/>
                <w:szCs w:val="22"/>
                <w:lang w:val="sr-Cyrl-RS"/>
              </w:rPr>
              <w:t>почевши од</w:t>
            </w:r>
            <w:r w:rsidRPr="006B4F67">
              <w:rPr>
                <w:sz w:val="22"/>
                <w:szCs w:val="22"/>
                <w:lang w:val="sr-Cyrl-RS"/>
              </w:rPr>
              <w:t xml:space="preserve"> организације</w:t>
            </w:r>
            <w:r w:rsidR="007A417C" w:rsidRPr="006B4F67">
              <w:rPr>
                <w:sz w:val="22"/>
                <w:szCs w:val="22"/>
                <w:lang w:val="sr-Cyrl-RS"/>
              </w:rPr>
              <w:t xml:space="preserve"> рада</w:t>
            </w:r>
            <w:r w:rsidRPr="006B4F67">
              <w:rPr>
                <w:sz w:val="22"/>
                <w:szCs w:val="22"/>
                <w:lang w:val="sr-Cyrl-RS"/>
              </w:rPr>
              <w:t xml:space="preserve"> и предузимљивости, </w:t>
            </w:r>
            <w:r w:rsidR="007A417C" w:rsidRPr="006B4F67">
              <w:rPr>
                <w:sz w:val="22"/>
                <w:szCs w:val="22"/>
                <w:lang w:val="sr-Cyrl-RS"/>
              </w:rPr>
              <w:t>преко смисла за емпиријски рад</w:t>
            </w:r>
            <w:r w:rsidR="00DC21A5" w:rsidRPr="006B4F67">
              <w:rPr>
                <w:sz w:val="22"/>
                <w:szCs w:val="22"/>
                <w:lang w:val="sr-Cyrl-RS"/>
              </w:rPr>
              <w:t xml:space="preserve">, до </w:t>
            </w:r>
            <w:r w:rsidR="007A417C" w:rsidRPr="006B4F67">
              <w:rPr>
                <w:sz w:val="22"/>
                <w:szCs w:val="22"/>
                <w:lang w:val="sr-Cyrl-RS"/>
              </w:rPr>
              <w:t>налажења</w:t>
            </w:r>
            <w:r w:rsidR="00DC21A5" w:rsidRPr="006B4F67">
              <w:rPr>
                <w:sz w:val="22"/>
                <w:szCs w:val="22"/>
                <w:lang w:val="sr-Cyrl-RS"/>
              </w:rPr>
              <w:t xml:space="preserve"> креативних и научно валидних</w:t>
            </w:r>
            <w:r w:rsidR="007A417C" w:rsidRPr="006B4F67">
              <w:rPr>
                <w:sz w:val="22"/>
                <w:szCs w:val="22"/>
                <w:lang w:val="sr-Cyrl-RS"/>
              </w:rPr>
              <w:t xml:space="preserve"> решења онда када је то било потребно</w:t>
            </w:r>
            <w:r w:rsidRPr="006B4F67">
              <w:rPr>
                <w:sz w:val="22"/>
                <w:szCs w:val="22"/>
                <w:lang w:val="sr-Cyrl-RS"/>
              </w:rPr>
              <w:t>.</w:t>
            </w:r>
            <w:r w:rsidR="002470B5" w:rsidRPr="006B4F67">
              <w:rPr>
                <w:sz w:val="22"/>
                <w:szCs w:val="22"/>
                <w:lang w:val="sr-Cyrl-RS"/>
              </w:rPr>
              <w:t xml:space="preserve"> Кандидат је показао и завидан ниво афинитета за научну мисао и критичку евалуацију добијених резултата у односу на теоријске поставке, док је</w:t>
            </w:r>
            <w:r w:rsidRPr="006B4F67">
              <w:rPr>
                <w:sz w:val="22"/>
                <w:szCs w:val="22"/>
                <w:lang w:val="sr-Cyrl-RS"/>
              </w:rPr>
              <w:t xml:space="preserve"> квалитет </w:t>
            </w:r>
            <w:r w:rsidR="002470B5" w:rsidRPr="006B4F67">
              <w:rPr>
                <w:sz w:val="22"/>
                <w:szCs w:val="22"/>
                <w:lang w:val="sr-Cyrl-RS"/>
              </w:rPr>
              <w:t xml:space="preserve">израђене </w:t>
            </w:r>
            <w:r w:rsidRPr="006B4F67">
              <w:rPr>
                <w:sz w:val="22"/>
                <w:szCs w:val="22"/>
                <w:lang w:val="sr-Cyrl-RS"/>
              </w:rPr>
              <w:t>докторске дисертације и њена оригиналност</w:t>
            </w:r>
            <w:r w:rsidR="002470B5" w:rsidRPr="006B4F67">
              <w:rPr>
                <w:sz w:val="22"/>
                <w:szCs w:val="22"/>
                <w:lang w:val="sr-Cyrl-RS"/>
              </w:rPr>
              <w:t xml:space="preserve"> </w:t>
            </w:r>
            <w:r w:rsidRPr="006B4F67">
              <w:rPr>
                <w:sz w:val="22"/>
                <w:szCs w:val="22"/>
                <w:lang w:val="sr-Cyrl-RS"/>
              </w:rPr>
              <w:t xml:space="preserve">доказ </w:t>
            </w:r>
            <w:r w:rsidR="002470B5" w:rsidRPr="006B4F67">
              <w:rPr>
                <w:sz w:val="22"/>
                <w:szCs w:val="22"/>
                <w:lang w:val="sr-Cyrl-RS"/>
              </w:rPr>
              <w:t xml:space="preserve">изузетно </w:t>
            </w:r>
            <w:r w:rsidRPr="006B4F67">
              <w:rPr>
                <w:sz w:val="22"/>
                <w:szCs w:val="22"/>
                <w:lang w:val="sr-Cyrl-RS"/>
              </w:rPr>
              <w:t>озбиљног рада и самосталног промишљања</w:t>
            </w:r>
            <w:r w:rsidR="002470B5" w:rsidRPr="006B4F67">
              <w:rPr>
                <w:sz w:val="22"/>
                <w:szCs w:val="22"/>
                <w:lang w:val="sr-Cyrl-RS"/>
              </w:rPr>
              <w:t xml:space="preserve"> у току испуњава</w:t>
            </w:r>
            <w:r w:rsidR="00FD6835">
              <w:rPr>
                <w:sz w:val="22"/>
                <w:szCs w:val="22"/>
                <w:lang w:val="sr-Cyrl-RS"/>
              </w:rPr>
              <w:t>ња</w:t>
            </w:r>
            <w:r w:rsidR="002470B5" w:rsidRPr="006B4F67">
              <w:rPr>
                <w:sz w:val="22"/>
                <w:szCs w:val="22"/>
                <w:lang w:val="sr-Cyrl-RS"/>
              </w:rPr>
              <w:t xml:space="preserve"> циљева постављених у пријави докторске дисертације.</w:t>
            </w:r>
            <w:r w:rsidRPr="006B4F67">
              <w:rPr>
                <w:sz w:val="22"/>
                <w:szCs w:val="22"/>
                <w:lang w:val="sr-Cyrl-RS"/>
              </w:rPr>
              <w:t xml:space="preserve"> </w:t>
            </w:r>
          </w:p>
        </w:tc>
      </w:tr>
      <w:tr w:rsidR="00824A6D" w:rsidRPr="006B4F67" w14:paraId="2184883E" w14:textId="77777777" w:rsidTr="00743CA1">
        <w:trPr>
          <w:trHeight w:val="340"/>
          <w:jc w:val="center"/>
        </w:trPr>
        <w:tc>
          <w:tcPr>
            <w:tcW w:w="10881" w:type="dxa"/>
            <w:gridSpan w:val="12"/>
            <w:shd w:val="clear" w:color="auto" w:fill="D9D9D9"/>
            <w:vAlign w:val="center"/>
          </w:tcPr>
          <w:p w14:paraId="4C1A2183" w14:textId="77777777" w:rsidR="00824A6D" w:rsidRPr="006B4F67" w:rsidRDefault="00824A6D" w:rsidP="00824A6D">
            <w:pPr>
              <w:jc w:val="center"/>
              <w:rPr>
                <w:lang w:val="sr-Cyrl-RS"/>
              </w:rPr>
            </w:pPr>
            <w:r w:rsidRPr="006B4F67">
              <w:rPr>
                <w:b/>
                <w:lang w:val="sr-Cyrl-RS"/>
              </w:rPr>
              <w:t xml:space="preserve">ЗАКЉУЧАК </w:t>
            </w:r>
            <w:r w:rsidRPr="006B4F67">
              <w:rPr>
                <w:color w:val="808080"/>
                <w:lang w:val="sr-Cyrl-RS"/>
              </w:rPr>
              <w:t>(</w:t>
            </w:r>
            <w:r w:rsidRPr="006B4F67">
              <w:rPr>
                <w:i/>
                <w:color w:val="808080"/>
                <w:lang w:val="sr-Cyrl-RS"/>
              </w:rPr>
              <w:t>до 100 речи</w:t>
            </w:r>
            <w:r w:rsidRPr="006B4F67">
              <w:rPr>
                <w:color w:val="808080"/>
                <w:lang w:val="sr-Cyrl-RS"/>
              </w:rPr>
              <w:t>)</w:t>
            </w:r>
          </w:p>
        </w:tc>
      </w:tr>
      <w:tr w:rsidR="00824A6D" w:rsidRPr="006B4F67" w14:paraId="57DB982B" w14:textId="77777777" w:rsidTr="00743CA1">
        <w:trPr>
          <w:trHeight w:val="340"/>
          <w:jc w:val="center"/>
        </w:trPr>
        <w:tc>
          <w:tcPr>
            <w:tcW w:w="10881" w:type="dxa"/>
            <w:gridSpan w:val="12"/>
            <w:tcBorders>
              <w:bottom w:val="single" w:sz="4" w:space="0" w:color="C0C0C0"/>
            </w:tcBorders>
            <w:vAlign w:val="center"/>
          </w:tcPr>
          <w:p w14:paraId="746B6A58" w14:textId="65378F77" w:rsidR="00824A6D" w:rsidRPr="006B4F67" w:rsidRDefault="00824A6D" w:rsidP="00AB7825">
            <w:pPr>
              <w:jc w:val="both"/>
              <w:rPr>
                <w:i/>
                <w:sz w:val="22"/>
                <w:szCs w:val="22"/>
                <w:lang w:val="sr-Cyrl-RS"/>
              </w:rPr>
            </w:pPr>
            <w:r w:rsidRPr="006B4F67">
              <w:rPr>
                <w:sz w:val="22"/>
                <w:szCs w:val="22"/>
                <w:lang w:val="sr-Cyrl-RS"/>
              </w:rPr>
              <w:tab/>
            </w:r>
            <w:r w:rsidR="00AB7825" w:rsidRPr="006B4F67">
              <w:rPr>
                <w:sz w:val="22"/>
                <w:szCs w:val="22"/>
                <w:lang w:val="sr-Cyrl-RS"/>
              </w:rPr>
              <w:t>Имајући у виду</w:t>
            </w:r>
            <w:r w:rsidRPr="006B4F67">
              <w:rPr>
                <w:sz w:val="22"/>
                <w:szCs w:val="22"/>
                <w:lang w:val="sr-Cyrl-RS"/>
              </w:rPr>
              <w:t xml:space="preserve"> укупн</w:t>
            </w:r>
            <w:r w:rsidR="00AB7825" w:rsidRPr="006B4F67">
              <w:rPr>
                <w:sz w:val="22"/>
                <w:szCs w:val="22"/>
                <w:lang w:val="sr-Cyrl-RS"/>
              </w:rPr>
              <w:t>у</w:t>
            </w:r>
            <w:r w:rsidRPr="006B4F67">
              <w:rPr>
                <w:sz w:val="22"/>
                <w:szCs w:val="22"/>
                <w:lang w:val="sr-Cyrl-RS"/>
              </w:rPr>
              <w:t xml:space="preserve"> оцен</w:t>
            </w:r>
            <w:r w:rsidR="00AB7825" w:rsidRPr="006B4F67">
              <w:rPr>
                <w:sz w:val="22"/>
                <w:szCs w:val="22"/>
                <w:lang w:val="sr-Cyrl-RS"/>
              </w:rPr>
              <w:t>у</w:t>
            </w:r>
            <w:r w:rsidRPr="006B4F67">
              <w:rPr>
                <w:sz w:val="22"/>
                <w:szCs w:val="22"/>
                <w:lang w:val="sr-Cyrl-RS"/>
              </w:rPr>
              <w:t xml:space="preserve"> и</w:t>
            </w:r>
            <w:r w:rsidR="00AB7825" w:rsidRPr="006B4F67">
              <w:rPr>
                <w:sz w:val="22"/>
                <w:szCs w:val="22"/>
                <w:lang w:val="sr-Cyrl-RS"/>
              </w:rPr>
              <w:t xml:space="preserve"> све</w:t>
            </w:r>
            <w:r w:rsidRPr="006B4F67">
              <w:rPr>
                <w:sz w:val="22"/>
                <w:szCs w:val="22"/>
                <w:lang w:val="sr-Cyrl-RS"/>
              </w:rPr>
              <w:t xml:space="preserve"> изнет</w:t>
            </w:r>
            <w:r w:rsidR="00AB7825" w:rsidRPr="006B4F67">
              <w:rPr>
                <w:sz w:val="22"/>
                <w:szCs w:val="22"/>
                <w:lang w:val="sr-Cyrl-RS"/>
              </w:rPr>
              <w:t>е</w:t>
            </w:r>
            <w:r w:rsidRPr="006B4F67">
              <w:rPr>
                <w:sz w:val="22"/>
                <w:szCs w:val="22"/>
                <w:lang w:val="sr-Cyrl-RS"/>
              </w:rPr>
              <w:t xml:space="preserve"> позитивн</w:t>
            </w:r>
            <w:r w:rsidR="00AB7825" w:rsidRPr="006B4F67">
              <w:rPr>
                <w:sz w:val="22"/>
                <w:szCs w:val="22"/>
                <w:lang w:val="sr-Cyrl-RS"/>
              </w:rPr>
              <w:t>е</w:t>
            </w:r>
            <w:r w:rsidRPr="006B4F67">
              <w:rPr>
                <w:sz w:val="22"/>
                <w:szCs w:val="22"/>
                <w:lang w:val="sr-Cyrl-RS"/>
              </w:rPr>
              <w:t xml:space="preserve"> карактеристик</w:t>
            </w:r>
            <w:r w:rsidR="00AB7825" w:rsidRPr="006B4F67">
              <w:rPr>
                <w:sz w:val="22"/>
                <w:szCs w:val="22"/>
                <w:lang w:val="sr-Cyrl-RS"/>
              </w:rPr>
              <w:t>е</w:t>
            </w:r>
            <w:r w:rsidRPr="006B4F67">
              <w:rPr>
                <w:sz w:val="22"/>
                <w:szCs w:val="22"/>
                <w:lang w:val="sr-Cyrl-RS"/>
              </w:rPr>
              <w:t xml:space="preserve"> у вредновању докторске дисертације </w:t>
            </w:r>
            <w:r w:rsidR="00AB7825" w:rsidRPr="006B4F67">
              <w:rPr>
                <w:i/>
                <w:sz w:val="22"/>
                <w:szCs w:val="22"/>
                <w:lang w:val="sr-Cyrl-RS"/>
              </w:rPr>
              <w:t>Semantic Frame Activation and Contextual Aptness of Metaphorical Expressions (Активација семантичких оквира и прилагођеност метафоричких израза контексту)</w:t>
            </w:r>
            <w:r w:rsidRPr="006B4F67">
              <w:rPr>
                <w:sz w:val="22"/>
                <w:szCs w:val="22"/>
                <w:lang w:val="sr-Cyrl-RS"/>
              </w:rPr>
              <w:t>,</w:t>
            </w:r>
            <w:r w:rsidR="002470B5" w:rsidRPr="006B4F67">
              <w:rPr>
                <w:sz w:val="22"/>
                <w:szCs w:val="22"/>
                <w:lang w:val="sr-Cyrl-RS"/>
              </w:rPr>
              <w:t xml:space="preserve"> чланови</w:t>
            </w:r>
            <w:r w:rsidRPr="006B4F67">
              <w:rPr>
                <w:sz w:val="22"/>
                <w:szCs w:val="22"/>
                <w:lang w:val="sr-Cyrl-RS"/>
              </w:rPr>
              <w:t xml:space="preserve"> Комисиј</w:t>
            </w:r>
            <w:r w:rsidR="002470B5" w:rsidRPr="006B4F67">
              <w:rPr>
                <w:sz w:val="22"/>
                <w:szCs w:val="22"/>
                <w:lang w:val="sr-Cyrl-RS"/>
              </w:rPr>
              <w:t>е</w:t>
            </w:r>
            <w:r w:rsidRPr="006B4F67">
              <w:rPr>
                <w:sz w:val="22"/>
                <w:szCs w:val="22"/>
                <w:lang w:val="sr-Cyrl-RS"/>
              </w:rPr>
              <w:t xml:space="preserve"> </w:t>
            </w:r>
            <w:r w:rsidR="00AB7825" w:rsidRPr="006B4F67">
              <w:rPr>
                <w:sz w:val="22"/>
                <w:szCs w:val="22"/>
                <w:lang w:val="sr-Cyrl-RS"/>
              </w:rPr>
              <w:t>са</w:t>
            </w:r>
            <w:r w:rsidR="002470B5" w:rsidRPr="006B4F67">
              <w:rPr>
                <w:sz w:val="22"/>
                <w:szCs w:val="22"/>
                <w:lang w:val="sr-Cyrl-RS"/>
              </w:rPr>
              <w:t xml:space="preserve"> великим</w:t>
            </w:r>
            <w:r w:rsidR="00AB7825" w:rsidRPr="006B4F67">
              <w:rPr>
                <w:sz w:val="22"/>
                <w:szCs w:val="22"/>
                <w:lang w:val="sr-Cyrl-RS"/>
              </w:rPr>
              <w:t xml:space="preserve"> задовољством </w:t>
            </w:r>
            <w:r w:rsidRPr="006B4F67">
              <w:rPr>
                <w:sz w:val="22"/>
                <w:szCs w:val="22"/>
                <w:lang w:val="sr-Cyrl-RS"/>
              </w:rPr>
              <w:t>предлаж</w:t>
            </w:r>
            <w:r w:rsidR="002470B5" w:rsidRPr="006B4F67">
              <w:rPr>
                <w:sz w:val="22"/>
                <w:szCs w:val="22"/>
                <w:lang w:val="sr-Cyrl-RS"/>
              </w:rPr>
              <w:t>у</w:t>
            </w:r>
            <w:r w:rsidRPr="006B4F67">
              <w:rPr>
                <w:sz w:val="22"/>
                <w:szCs w:val="22"/>
                <w:lang w:val="sr-Cyrl-RS"/>
              </w:rPr>
              <w:t xml:space="preserve"> Наставно-научном већу Филозофског факултета Универзитета у Нишу и Научно-стручном већу за друштвене и хуманистичке науке Универзитета у Нишу да докторску дисертацију у предатој форми прихвати и кандидат</w:t>
            </w:r>
            <w:r w:rsidR="00AB7825" w:rsidRPr="006B4F67">
              <w:rPr>
                <w:sz w:val="22"/>
                <w:szCs w:val="22"/>
                <w:lang w:val="sr-Cyrl-RS"/>
              </w:rPr>
              <w:t>у Владимиру Фигару</w:t>
            </w:r>
            <w:r w:rsidRPr="006B4F67">
              <w:rPr>
                <w:sz w:val="22"/>
                <w:szCs w:val="22"/>
                <w:lang w:val="sr-Cyrl-RS"/>
              </w:rPr>
              <w:t xml:space="preserve"> одобри јавну одбрану.</w:t>
            </w:r>
          </w:p>
        </w:tc>
      </w:tr>
      <w:tr w:rsidR="00824A6D" w:rsidRPr="006B4F67" w14:paraId="5540655C" w14:textId="77777777" w:rsidTr="00743CA1">
        <w:trPr>
          <w:trHeight w:val="340"/>
          <w:jc w:val="center"/>
        </w:trPr>
        <w:tc>
          <w:tcPr>
            <w:tcW w:w="10881" w:type="dxa"/>
            <w:gridSpan w:val="12"/>
            <w:shd w:val="clear" w:color="auto" w:fill="D9D9D9"/>
            <w:vAlign w:val="center"/>
          </w:tcPr>
          <w:p w14:paraId="1E69A089" w14:textId="77777777" w:rsidR="00824A6D" w:rsidRPr="006B4F67" w:rsidRDefault="00824A6D" w:rsidP="00824A6D">
            <w:pPr>
              <w:jc w:val="center"/>
              <w:rPr>
                <w:b/>
                <w:lang w:val="sr-Cyrl-RS"/>
              </w:rPr>
            </w:pPr>
            <w:r w:rsidRPr="006B4F67">
              <w:rPr>
                <w:b/>
                <w:lang w:val="sr-Cyrl-RS"/>
              </w:rPr>
              <w:t>КОМИСИЈА</w:t>
            </w:r>
          </w:p>
        </w:tc>
      </w:tr>
      <w:tr w:rsidR="00824A6D" w:rsidRPr="006B4F67" w14:paraId="2DE38735" w14:textId="77777777" w:rsidTr="007553DB">
        <w:trPr>
          <w:trHeight w:val="340"/>
          <w:jc w:val="center"/>
        </w:trPr>
        <w:tc>
          <w:tcPr>
            <w:tcW w:w="3417" w:type="dxa"/>
            <w:gridSpan w:val="4"/>
            <w:shd w:val="clear" w:color="auto" w:fill="F3F3F3"/>
            <w:vAlign w:val="center"/>
          </w:tcPr>
          <w:p w14:paraId="227D601A" w14:textId="77777777" w:rsidR="00824A6D" w:rsidRPr="006B4F67" w:rsidRDefault="00824A6D" w:rsidP="00824A6D">
            <w:pPr>
              <w:rPr>
                <w:sz w:val="18"/>
                <w:szCs w:val="18"/>
                <w:lang w:val="sr-Cyrl-RS"/>
              </w:rPr>
            </w:pPr>
            <w:r w:rsidRPr="006B4F67">
              <w:rPr>
                <w:sz w:val="18"/>
                <w:szCs w:val="18"/>
                <w:lang w:val="sr-Cyrl-RS"/>
              </w:rPr>
              <w:t>Број одлуке НСВ о именовању Комисије</w:t>
            </w:r>
          </w:p>
        </w:tc>
        <w:tc>
          <w:tcPr>
            <w:tcW w:w="7464" w:type="dxa"/>
            <w:gridSpan w:val="8"/>
            <w:shd w:val="clear" w:color="auto" w:fill="auto"/>
            <w:vAlign w:val="center"/>
          </w:tcPr>
          <w:p w14:paraId="3EDC8B94" w14:textId="77777777" w:rsidR="00824A6D" w:rsidRPr="006B4F67" w:rsidRDefault="00824A6D" w:rsidP="00824A6D">
            <w:pPr>
              <w:rPr>
                <w:b/>
                <w:sz w:val="18"/>
                <w:szCs w:val="18"/>
                <w:lang w:val="sr-Cyrl-RS"/>
              </w:rPr>
            </w:pPr>
          </w:p>
        </w:tc>
      </w:tr>
      <w:tr w:rsidR="00824A6D" w:rsidRPr="006B4F67" w14:paraId="4CEB7640" w14:textId="77777777" w:rsidTr="007553DB">
        <w:trPr>
          <w:trHeight w:val="340"/>
          <w:jc w:val="center"/>
        </w:trPr>
        <w:tc>
          <w:tcPr>
            <w:tcW w:w="3417" w:type="dxa"/>
            <w:gridSpan w:val="4"/>
            <w:shd w:val="clear" w:color="auto" w:fill="F3F3F3"/>
            <w:vAlign w:val="center"/>
          </w:tcPr>
          <w:p w14:paraId="0CC6B8F3" w14:textId="77777777" w:rsidR="00824A6D" w:rsidRPr="006B4F67" w:rsidRDefault="00824A6D" w:rsidP="00824A6D">
            <w:pPr>
              <w:rPr>
                <w:sz w:val="18"/>
                <w:szCs w:val="18"/>
                <w:lang w:val="sr-Cyrl-RS"/>
              </w:rPr>
            </w:pPr>
            <w:r w:rsidRPr="006B4F67">
              <w:rPr>
                <w:sz w:val="18"/>
                <w:szCs w:val="18"/>
                <w:lang w:val="sr-Cyrl-RS"/>
              </w:rPr>
              <w:t>Датум именовања Комисије</w:t>
            </w:r>
          </w:p>
        </w:tc>
        <w:tc>
          <w:tcPr>
            <w:tcW w:w="7464" w:type="dxa"/>
            <w:gridSpan w:val="8"/>
            <w:shd w:val="clear" w:color="auto" w:fill="auto"/>
            <w:vAlign w:val="center"/>
          </w:tcPr>
          <w:p w14:paraId="3EB1FAB3" w14:textId="4519B52D" w:rsidR="00824A6D" w:rsidRPr="006B4F67" w:rsidRDefault="00824A6D" w:rsidP="00824A6D">
            <w:pPr>
              <w:rPr>
                <w:b/>
                <w:sz w:val="18"/>
                <w:szCs w:val="18"/>
                <w:lang w:val="sr-Cyrl-RS"/>
              </w:rPr>
            </w:pPr>
            <w:r w:rsidRPr="006B4F67">
              <w:rPr>
                <w:b/>
                <w:sz w:val="18"/>
                <w:szCs w:val="18"/>
                <w:lang w:val="sr-Cyrl-RS"/>
              </w:rPr>
              <w:t>30. 6. 2021. год.</w:t>
            </w:r>
          </w:p>
        </w:tc>
      </w:tr>
      <w:tr w:rsidR="00824A6D" w:rsidRPr="006B4F67" w14:paraId="4D2182E2" w14:textId="77777777" w:rsidTr="007553DB">
        <w:trPr>
          <w:trHeight w:val="340"/>
          <w:jc w:val="center"/>
        </w:trPr>
        <w:tc>
          <w:tcPr>
            <w:tcW w:w="539" w:type="dxa"/>
            <w:shd w:val="clear" w:color="auto" w:fill="F3F3F3"/>
            <w:vAlign w:val="center"/>
          </w:tcPr>
          <w:p w14:paraId="00244B32" w14:textId="77777777" w:rsidR="00824A6D" w:rsidRPr="006B4F67" w:rsidRDefault="00824A6D" w:rsidP="00824A6D">
            <w:pPr>
              <w:rPr>
                <w:b/>
                <w:sz w:val="18"/>
                <w:szCs w:val="18"/>
                <w:lang w:val="sr-Cyrl-RS"/>
              </w:rPr>
            </w:pPr>
            <w:r w:rsidRPr="006B4F67">
              <w:rPr>
                <w:b/>
                <w:sz w:val="18"/>
                <w:szCs w:val="18"/>
                <w:lang w:val="sr-Cyrl-RS"/>
              </w:rPr>
              <w:t>Р. бр.</w:t>
            </w:r>
          </w:p>
        </w:tc>
        <w:tc>
          <w:tcPr>
            <w:tcW w:w="7917" w:type="dxa"/>
            <w:gridSpan w:val="7"/>
            <w:shd w:val="clear" w:color="auto" w:fill="auto"/>
            <w:vAlign w:val="center"/>
          </w:tcPr>
          <w:p w14:paraId="0B657DC1" w14:textId="77777777" w:rsidR="00824A6D" w:rsidRPr="006B4F67" w:rsidRDefault="00824A6D" w:rsidP="00824A6D">
            <w:pPr>
              <w:jc w:val="center"/>
              <w:rPr>
                <w:b/>
                <w:sz w:val="18"/>
                <w:szCs w:val="18"/>
                <w:lang w:val="sr-Cyrl-RS"/>
              </w:rPr>
            </w:pPr>
            <w:r w:rsidRPr="006B4F67">
              <w:rPr>
                <w:b/>
                <w:sz w:val="18"/>
                <w:szCs w:val="18"/>
                <w:lang w:val="sr-Cyrl-RS"/>
              </w:rPr>
              <w:t>Име и презиме, звање</w:t>
            </w:r>
          </w:p>
        </w:tc>
        <w:tc>
          <w:tcPr>
            <w:tcW w:w="2425" w:type="dxa"/>
            <w:gridSpan w:val="4"/>
            <w:vAlign w:val="center"/>
          </w:tcPr>
          <w:p w14:paraId="4F961E9E" w14:textId="77777777" w:rsidR="00824A6D" w:rsidRPr="006B4F67" w:rsidRDefault="00824A6D" w:rsidP="00824A6D">
            <w:pPr>
              <w:jc w:val="center"/>
              <w:rPr>
                <w:b/>
                <w:sz w:val="18"/>
                <w:szCs w:val="18"/>
                <w:lang w:val="sr-Cyrl-RS"/>
              </w:rPr>
            </w:pPr>
            <w:r w:rsidRPr="006B4F67">
              <w:rPr>
                <w:b/>
                <w:sz w:val="18"/>
                <w:szCs w:val="18"/>
                <w:lang w:val="sr-Cyrl-RS"/>
              </w:rPr>
              <w:t>Потпис</w:t>
            </w:r>
          </w:p>
        </w:tc>
      </w:tr>
      <w:tr w:rsidR="00824A6D" w:rsidRPr="006B4F67" w14:paraId="7DE5514F" w14:textId="77777777" w:rsidTr="007553DB">
        <w:trPr>
          <w:trHeight w:val="340"/>
          <w:jc w:val="center"/>
        </w:trPr>
        <w:tc>
          <w:tcPr>
            <w:tcW w:w="539" w:type="dxa"/>
            <w:vMerge w:val="restart"/>
            <w:shd w:val="clear" w:color="auto" w:fill="F3F3F3"/>
            <w:vAlign w:val="center"/>
          </w:tcPr>
          <w:p w14:paraId="19A6ED73" w14:textId="77777777" w:rsidR="00824A6D" w:rsidRPr="006B4F67" w:rsidRDefault="00824A6D" w:rsidP="00824A6D">
            <w:pPr>
              <w:jc w:val="center"/>
              <w:rPr>
                <w:sz w:val="18"/>
                <w:szCs w:val="18"/>
                <w:lang w:val="sr-Cyrl-RS"/>
              </w:rPr>
            </w:pPr>
            <w:r w:rsidRPr="006B4F67">
              <w:rPr>
                <w:sz w:val="18"/>
                <w:szCs w:val="18"/>
                <w:lang w:val="sr-Cyrl-RS"/>
              </w:rPr>
              <w:t>1.</w:t>
            </w:r>
          </w:p>
        </w:tc>
        <w:tc>
          <w:tcPr>
            <w:tcW w:w="6294" w:type="dxa"/>
            <w:gridSpan w:val="5"/>
            <w:shd w:val="clear" w:color="auto" w:fill="auto"/>
            <w:vAlign w:val="center"/>
          </w:tcPr>
          <w:p w14:paraId="33F003FC" w14:textId="7BBDEAEF" w:rsidR="00824A6D" w:rsidRPr="006B4F67" w:rsidRDefault="00AB7825" w:rsidP="00824A6D">
            <w:pPr>
              <w:rPr>
                <w:sz w:val="20"/>
                <w:szCs w:val="20"/>
                <w:lang w:val="sr-Cyrl-RS"/>
              </w:rPr>
            </w:pPr>
            <w:r w:rsidRPr="006B4F67">
              <w:rPr>
                <w:sz w:val="20"/>
                <w:szCs w:val="20"/>
                <w:lang w:val="sr-Cyrl-RS"/>
              </w:rPr>
              <w:t>Др Владимир Ж. Јовановић, редовни професор</w:t>
            </w:r>
          </w:p>
        </w:tc>
        <w:tc>
          <w:tcPr>
            <w:tcW w:w="1623" w:type="dxa"/>
            <w:gridSpan w:val="2"/>
            <w:shd w:val="clear" w:color="auto" w:fill="auto"/>
            <w:vAlign w:val="center"/>
          </w:tcPr>
          <w:p w14:paraId="19D59EA9" w14:textId="77777777" w:rsidR="00824A6D" w:rsidRPr="006B4F67" w:rsidRDefault="00824A6D" w:rsidP="00824A6D">
            <w:pPr>
              <w:jc w:val="center"/>
              <w:rPr>
                <w:sz w:val="20"/>
                <w:szCs w:val="20"/>
                <w:lang w:val="sr-Cyrl-RS"/>
              </w:rPr>
            </w:pPr>
            <w:r w:rsidRPr="006B4F67">
              <w:rPr>
                <w:sz w:val="20"/>
                <w:szCs w:val="20"/>
                <w:lang w:val="sr-Cyrl-RS"/>
              </w:rPr>
              <w:t>председник</w:t>
            </w:r>
          </w:p>
        </w:tc>
        <w:tc>
          <w:tcPr>
            <w:tcW w:w="2425" w:type="dxa"/>
            <w:gridSpan w:val="4"/>
            <w:vMerge w:val="restart"/>
            <w:vAlign w:val="center"/>
          </w:tcPr>
          <w:p w14:paraId="33347124" w14:textId="77777777" w:rsidR="00824A6D" w:rsidRPr="006B4F67" w:rsidRDefault="00824A6D" w:rsidP="00824A6D">
            <w:pPr>
              <w:rPr>
                <w:lang w:val="sr-Cyrl-RS"/>
              </w:rPr>
            </w:pPr>
          </w:p>
        </w:tc>
      </w:tr>
      <w:tr w:rsidR="00AB7825" w:rsidRPr="006B4F67" w14:paraId="7679434E" w14:textId="77777777" w:rsidTr="007553DB">
        <w:trPr>
          <w:trHeight w:val="340"/>
          <w:jc w:val="center"/>
        </w:trPr>
        <w:tc>
          <w:tcPr>
            <w:tcW w:w="539" w:type="dxa"/>
            <w:vMerge/>
            <w:shd w:val="clear" w:color="auto" w:fill="F3F3F3"/>
            <w:vAlign w:val="center"/>
          </w:tcPr>
          <w:p w14:paraId="616D3EBB" w14:textId="77777777" w:rsidR="00AB7825" w:rsidRPr="006B4F67" w:rsidRDefault="00AB7825" w:rsidP="00AB7825">
            <w:pPr>
              <w:jc w:val="center"/>
              <w:rPr>
                <w:sz w:val="18"/>
                <w:szCs w:val="18"/>
                <w:lang w:val="sr-Cyrl-RS"/>
              </w:rPr>
            </w:pPr>
          </w:p>
        </w:tc>
        <w:tc>
          <w:tcPr>
            <w:tcW w:w="3483" w:type="dxa"/>
            <w:gridSpan w:val="4"/>
            <w:shd w:val="clear" w:color="auto" w:fill="auto"/>
            <w:vAlign w:val="center"/>
          </w:tcPr>
          <w:p w14:paraId="370C6FAA" w14:textId="204216CE" w:rsidR="00AB7825" w:rsidRPr="006B4F67" w:rsidRDefault="00AB7825" w:rsidP="00AB7825">
            <w:pPr>
              <w:jc w:val="center"/>
              <w:rPr>
                <w:sz w:val="20"/>
                <w:szCs w:val="20"/>
                <w:lang w:val="sr-Cyrl-RS"/>
              </w:rPr>
            </w:pPr>
            <w:r w:rsidRPr="006B4F67">
              <w:rPr>
                <w:sz w:val="20"/>
                <w:szCs w:val="20"/>
                <w:lang w:val="sr-Cyrl-RS"/>
              </w:rPr>
              <w:t>Англистичка лингвистика</w:t>
            </w:r>
          </w:p>
        </w:tc>
        <w:tc>
          <w:tcPr>
            <w:tcW w:w="4434" w:type="dxa"/>
            <w:gridSpan w:val="3"/>
            <w:shd w:val="clear" w:color="auto" w:fill="auto"/>
            <w:vAlign w:val="center"/>
          </w:tcPr>
          <w:p w14:paraId="73249D87" w14:textId="7BDC4629" w:rsidR="00AB7825" w:rsidRPr="006B4F67" w:rsidRDefault="00AB7825" w:rsidP="00AB7825">
            <w:pPr>
              <w:jc w:val="center"/>
              <w:rPr>
                <w:sz w:val="20"/>
                <w:szCs w:val="20"/>
                <w:lang w:val="sr-Cyrl-RS"/>
              </w:rPr>
            </w:pPr>
            <w:r w:rsidRPr="006B4F67">
              <w:rPr>
                <w:sz w:val="20"/>
                <w:szCs w:val="20"/>
                <w:lang w:val="sr-Cyrl-RS"/>
              </w:rPr>
              <w:t>Филозофски факултет Универзитета у Нишу</w:t>
            </w:r>
          </w:p>
        </w:tc>
        <w:tc>
          <w:tcPr>
            <w:tcW w:w="2425" w:type="dxa"/>
            <w:gridSpan w:val="4"/>
            <w:vMerge/>
            <w:vAlign w:val="center"/>
          </w:tcPr>
          <w:p w14:paraId="5EBC3CE7" w14:textId="77777777" w:rsidR="00AB7825" w:rsidRPr="006B4F67" w:rsidRDefault="00AB7825" w:rsidP="00AB7825">
            <w:pPr>
              <w:rPr>
                <w:lang w:val="sr-Cyrl-RS"/>
              </w:rPr>
            </w:pPr>
          </w:p>
        </w:tc>
      </w:tr>
      <w:tr w:rsidR="00824A6D" w:rsidRPr="006B4F67" w14:paraId="36D8962B" w14:textId="77777777" w:rsidTr="007553DB">
        <w:trPr>
          <w:trHeight w:val="227"/>
          <w:jc w:val="center"/>
        </w:trPr>
        <w:tc>
          <w:tcPr>
            <w:tcW w:w="539" w:type="dxa"/>
            <w:vMerge/>
            <w:shd w:val="clear" w:color="auto" w:fill="F3F3F3"/>
            <w:vAlign w:val="center"/>
          </w:tcPr>
          <w:p w14:paraId="2517FBED" w14:textId="77777777" w:rsidR="00824A6D" w:rsidRPr="006B4F67" w:rsidRDefault="00824A6D" w:rsidP="00824A6D">
            <w:pPr>
              <w:jc w:val="center"/>
              <w:rPr>
                <w:sz w:val="18"/>
                <w:szCs w:val="18"/>
                <w:lang w:val="sr-Cyrl-RS"/>
              </w:rPr>
            </w:pPr>
          </w:p>
        </w:tc>
        <w:tc>
          <w:tcPr>
            <w:tcW w:w="3483" w:type="dxa"/>
            <w:gridSpan w:val="4"/>
            <w:shd w:val="clear" w:color="auto" w:fill="auto"/>
            <w:vAlign w:val="center"/>
          </w:tcPr>
          <w:p w14:paraId="24287EDA" w14:textId="77777777" w:rsidR="00824A6D" w:rsidRPr="006B4F67" w:rsidRDefault="00824A6D" w:rsidP="00824A6D">
            <w:pPr>
              <w:jc w:val="center"/>
              <w:rPr>
                <w:color w:val="999999"/>
                <w:sz w:val="20"/>
                <w:szCs w:val="20"/>
                <w:lang w:val="sr-Cyrl-RS"/>
              </w:rPr>
            </w:pPr>
            <w:r w:rsidRPr="006B4F67">
              <w:rPr>
                <w:color w:val="999999"/>
                <w:sz w:val="20"/>
                <w:szCs w:val="20"/>
                <w:lang w:val="sr-Cyrl-RS"/>
              </w:rPr>
              <w:t>(Научна област)</w:t>
            </w:r>
          </w:p>
        </w:tc>
        <w:tc>
          <w:tcPr>
            <w:tcW w:w="4434" w:type="dxa"/>
            <w:gridSpan w:val="3"/>
            <w:shd w:val="clear" w:color="auto" w:fill="auto"/>
            <w:vAlign w:val="center"/>
          </w:tcPr>
          <w:p w14:paraId="40973D2C" w14:textId="77777777" w:rsidR="00824A6D" w:rsidRPr="006B4F67" w:rsidRDefault="00824A6D" w:rsidP="00824A6D">
            <w:pPr>
              <w:jc w:val="center"/>
              <w:rPr>
                <w:color w:val="999999"/>
                <w:sz w:val="20"/>
                <w:szCs w:val="20"/>
                <w:lang w:val="sr-Cyrl-RS"/>
              </w:rPr>
            </w:pPr>
            <w:r w:rsidRPr="006B4F67">
              <w:rPr>
                <w:color w:val="999999"/>
                <w:sz w:val="20"/>
                <w:szCs w:val="20"/>
                <w:lang w:val="sr-Cyrl-RS"/>
              </w:rPr>
              <w:t>(Установа у којој је запослен)</w:t>
            </w:r>
          </w:p>
        </w:tc>
        <w:tc>
          <w:tcPr>
            <w:tcW w:w="2425" w:type="dxa"/>
            <w:gridSpan w:val="4"/>
            <w:vMerge/>
            <w:vAlign w:val="center"/>
          </w:tcPr>
          <w:p w14:paraId="0512A1DF" w14:textId="77777777" w:rsidR="00824A6D" w:rsidRPr="006B4F67" w:rsidRDefault="00824A6D" w:rsidP="00824A6D">
            <w:pPr>
              <w:rPr>
                <w:lang w:val="sr-Cyrl-RS"/>
              </w:rPr>
            </w:pPr>
          </w:p>
        </w:tc>
      </w:tr>
      <w:tr w:rsidR="00824A6D" w:rsidRPr="006B4F67" w14:paraId="0DAD2560" w14:textId="77777777" w:rsidTr="007553DB">
        <w:trPr>
          <w:trHeight w:val="340"/>
          <w:jc w:val="center"/>
        </w:trPr>
        <w:tc>
          <w:tcPr>
            <w:tcW w:w="539" w:type="dxa"/>
            <w:vMerge w:val="restart"/>
            <w:shd w:val="clear" w:color="auto" w:fill="F3F3F3"/>
            <w:vAlign w:val="center"/>
          </w:tcPr>
          <w:p w14:paraId="2E05C544" w14:textId="77777777" w:rsidR="00824A6D" w:rsidRPr="006B4F67" w:rsidRDefault="00824A6D" w:rsidP="00824A6D">
            <w:pPr>
              <w:jc w:val="center"/>
              <w:rPr>
                <w:sz w:val="18"/>
                <w:szCs w:val="18"/>
                <w:lang w:val="sr-Cyrl-RS"/>
              </w:rPr>
            </w:pPr>
            <w:r w:rsidRPr="006B4F67">
              <w:rPr>
                <w:sz w:val="18"/>
                <w:szCs w:val="18"/>
                <w:lang w:val="sr-Cyrl-RS"/>
              </w:rPr>
              <w:t>2.</w:t>
            </w:r>
          </w:p>
        </w:tc>
        <w:tc>
          <w:tcPr>
            <w:tcW w:w="6294" w:type="dxa"/>
            <w:gridSpan w:val="5"/>
            <w:shd w:val="clear" w:color="auto" w:fill="auto"/>
            <w:vAlign w:val="center"/>
          </w:tcPr>
          <w:p w14:paraId="2E6D8CC8" w14:textId="77777777" w:rsidR="00824A6D" w:rsidRPr="006B4F67" w:rsidRDefault="00824A6D" w:rsidP="00824A6D">
            <w:pPr>
              <w:rPr>
                <w:sz w:val="20"/>
                <w:szCs w:val="20"/>
                <w:lang w:val="sr-Cyrl-RS"/>
              </w:rPr>
            </w:pPr>
            <w:r w:rsidRPr="006B4F67">
              <w:rPr>
                <w:sz w:val="20"/>
                <w:szCs w:val="20"/>
                <w:lang w:val="sr-Cyrl-RS"/>
              </w:rPr>
              <w:t xml:space="preserve">Др Душан Стаменковић, ванредни професор </w:t>
            </w:r>
          </w:p>
        </w:tc>
        <w:tc>
          <w:tcPr>
            <w:tcW w:w="1623" w:type="dxa"/>
            <w:gridSpan w:val="2"/>
            <w:shd w:val="clear" w:color="auto" w:fill="auto"/>
            <w:vAlign w:val="center"/>
          </w:tcPr>
          <w:p w14:paraId="3BBEAEA5" w14:textId="77777777" w:rsidR="00824A6D" w:rsidRPr="006B4F67" w:rsidRDefault="00824A6D" w:rsidP="00824A6D">
            <w:pPr>
              <w:jc w:val="center"/>
              <w:rPr>
                <w:sz w:val="20"/>
                <w:szCs w:val="20"/>
                <w:lang w:val="sr-Cyrl-RS"/>
              </w:rPr>
            </w:pPr>
            <w:r w:rsidRPr="006B4F67">
              <w:rPr>
                <w:sz w:val="20"/>
                <w:szCs w:val="20"/>
                <w:lang w:val="sr-Cyrl-RS"/>
              </w:rPr>
              <w:t>ментор, члан</w:t>
            </w:r>
          </w:p>
        </w:tc>
        <w:tc>
          <w:tcPr>
            <w:tcW w:w="2425" w:type="dxa"/>
            <w:gridSpan w:val="4"/>
            <w:vMerge w:val="restart"/>
            <w:vAlign w:val="center"/>
          </w:tcPr>
          <w:p w14:paraId="1D3ECF8D" w14:textId="77777777" w:rsidR="00824A6D" w:rsidRPr="006B4F67" w:rsidRDefault="00824A6D" w:rsidP="00824A6D">
            <w:pPr>
              <w:rPr>
                <w:lang w:val="sr-Cyrl-RS"/>
              </w:rPr>
            </w:pPr>
          </w:p>
        </w:tc>
      </w:tr>
      <w:tr w:rsidR="00824A6D" w:rsidRPr="006B4F67" w14:paraId="450D08AC" w14:textId="77777777" w:rsidTr="007553DB">
        <w:trPr>
          <w:trHeight w:val="340"/>
          <w:jc w:val="center"/>
        </w:trPr>
        <w:tc>
          <w:tcPr>
            <w:tcW w:w="539" w:type="dxa"/>
            <w:vMerge/>
            <w:shd w:val="clear" w:color="auto" w:fill="F3F3F3"/>
            <w:vAlign w:val="center"/>
          </w:tcPr>
          <w:p w14:paraId="467F7C7C" w14:textId="77777777" w:rsidR="00824A6D" w:rsidRPr="006B4F67" w:rsidRDefault="00824A6D" w:rsidP="00824A6D">
            <w:pPr>
              <w:jc w:val="center"/>
              <w:rPr>
                <w:sz w:val="18"/>
                <w:szCs w:val="18"/>
                <w:lang w:val="sr-Cyrl-RS"/>
              </w:rPr>
            </w:pPr>
          </w:p>
        </w:tc>
        <w:tc>
          <w:tcPr>
            <w:tcW w:w="3483" w:type="dxa"/>
            <w:gridSpan w:val="4"/>
            <w:shd w:val="clear" w:color="auto" w:fill="auto"/>
            <w:vAlign w:val="center"/>
          </w:tcPr>
          <w:p w14:paraId="23D78C1F" w14:textId="77777777" w:rsidR="00824A6D" w:rsidRPr="006B4F67" w:rsidRDefault="00824A6D" w:rsidP="00824A6D">
            <w:pPr>
              <w:jc w:val="center"/>
              <w:rPr>
                <w:sz w:val="20"/>
                <w:szCs w:val="20"/>
                <w:lang w:val="sr-Cyrl-RS"/>
              </w:rPr>
            </w:pPr>
            <w:r w:rsidRPr="006B4F67">
              <w:rPr>
                <w:sz w:val="20"/>
                <w:szCs w:val="20"/>
                <w:lang w:val="sr-Cyrl-RS"/>
              </w:rPr>
              <w:t>Англистичка лингвистика</w:t>
            </w:r>
          </w:p>
        </w:tc>
        <w:tc>
          <w:tcPr>
            <w:tcW w:w="4434" w:type="dxa"/>
            <w:gridSpan w:val="3"/>
            <w:shd w:val="clear" w:color="auto" w:fill="auto"/>
            <w:vAlign w:val="center"/>
          </w:tcPr>
          <w:p w14:paraId="1F274A65" w14:textId="77777777" w:rsidR="00824A6D" w:rsidRPr="006B4F67" w:rsidRDefault="00824A6D" w:rsidP="00824A6D">
            <w:pPr>
              <w:jc w:val="center"/>
              <w:rPr>
                <w:sz w:val="20"/>
                <w:szCs w:val="20"/>
                <w:lang w:val="sr-Cyrl-RS"/>
              </w:rPr>
            </w:pPr>
            <w:r w:rsidRPr="006B4F67">
              <w:rPr>
                <w:sz w:val="20"/>
                <w:szCs w:val="20"/>
                <w:lang w:val="sr-Cyrl-RS"/>
              </w:rPr>
              <w:t>Филозофски факултет Универзитета у Нишу</w:t>
            </w:r>
          </w:p>
        </w:tc>
        <w:tc>
          <w:tcPr>
            <w:tcW w:w="2425" w:type="dxa"/>
            <w:gridSpan w:val="4"/>
            <w:vMerge/>
            <w:vAlign w:val="center"/>
          </w:tcPr>
          <w:p w14:paraId="415DC2F5" w14:textId="77777777" w:rsidR="00824A6D" w:rsidRPr="006B4F67" w:rsidRDefault="00824A6D" w:rsidP="00824A6D">
            <w:pPr>
              <w:rPr>
                <w:lang w:val="sr-Cyrl-RS"/>
              </w:rPr>
            </w:pPr>
          </w:p>
        </w:tc>
      </w:tr>
      <w:tr w:rsidR="00824A6D" w:rsidRPr="006B4F67" w14:paraId="61A2EA8E" w14:textId="77777777" w:rsidTr="007553DB">
        <w:trPr>
          <w:trHeight w:val="227"/>
          <w:jc w:val="center"/>
        </w:trPr>
        <w:tc>
          <w:tcPr>
            <w:tcW w:w="539" w:type="dxa"/>
            <w:vMerge/>
            <w:shd w:val="clear" w:color="auto" w:fill="F3F3F3"/>
            <w:vAlign w:val="center"/>
          </w:tcPr>
          <w:p w14:paraId="201275E5" w14:textId="77777777" w:rsidR="00824A6D" w:rsidRPr="006B4F67" w:rsidRDefault="00824A6D" w:rsidP="00824A6D">
            <w:pPr>
              <w:jc w:val="center"/>
              <w:rPr>
                <w:sz w:val="18"/>
                <w:szCs w:val="18"/>
                <w:lang w:val="sr-Cyrl-RS"/>
              </w:rPr>
            </w:pPr>
          </w:p>
        </w:tc>
        <w:tc>
          <w:tcPr>
            <w:tcW w:w="3483" w:type="dxa"/>
            <w:gridSpan w:val="4"/>
            <w:shd w:val="clear" w:color="auto" w:fill="auto"/>
            <w:vAlign w:val="center"/>
          </w:tcPr>
          <w:p w14:paraId="7F4189A3" w14:textId="77777777" w:rsidR="00824A6D" w:rsidRPr="006B4F67" w:rsidRDefault="00824A6D" w:rsidP="00824A6D">
            <w:pPr>
              <w:jc w:val="center"/>
              <w:rPr>
                <w:color w:val="999999"/>
                <w:sz w:val="20"/>
                <w:szCs w:val="20"/>
                <w:lang w:val="sr-Cyrl-RS"/>
              </w:rPr>
            </w:pPr>
            <w:r w:rsidRPr="006B4F67">
              <w:rPr>
                <w:color w:val="999999"/>
                <w:sz w:val="20"/>
                <w:szCs w:val="20"/>
                <w:lang w:val="sr-Cyrl-RS"/>
              </w:rPr>
              <w:t>(Научна област)</w:t>
            </w:r>
          </w:p>
        </w:tc>
        <w:tc>
          <w:tcPr>
            <w:tcW w:w="4434" w:type="dxa"/>
            <w:gridSpan w:val="3"/>
            <w:tcBorders>
              <w:bottom w:val="single" w:sz="4" w:space="0" w:color="BFBFBF"/>
            </w:tcBorders>
            <w:shd w:val="clear" w:color="auto" w:fill="auto"/>
            <w:vAlign w:val="center"/>
          </w:tcPr>
          <w:p w14:paraId="104A1BF1" w14:textId="77777777" w:rsidR="00824A6D" w:rsidRPr="006B4F67" w:rsidRDefault="00824A6D" w:rsidP="00824A6D">
            <w:pPr>
              <w:jc w:val="center"/>
              <w:rPr>
                <w:color w:val="999999"/>
                <w:sz w:val="20"/>
                <w:szCs w:val="20"/>
                <w:lang w:val="sr-Cyrl-RS"/>
              </w:rPr>
            </w:pPr>
            <w:r w:rsidRPr="006B4F67">
              <w:rPr>
                <w:color w:val="999999"/>
                <w:sz w:val="20"/>
                <w:szCs w:val="20"/>
                <w:lang w:val="sr-Cyrl-RS"/>
              </w:rPr>
              <w:t>(Установа у којој је запослен)</w:t>
            </w:r>
          </w:p>
        </w:tc>
        <w:tc>
          <w:tcPr>
            <w:tcW w:w="2425" w:type="dxa"/>
            <w:gridSpan w:val="4"/>
            <w:vMerge/>
            <w:tcBorders>
              <w:bottom w:val="single" w:sz="4" w:space="0" w:color="BFBFBF"/>
            </w:tcBorders>
            <w:vAlign w:val="center"/>
          </w:tcPr>
          <w:p w14:paraId="061EAB6B" w14:textId="77777777" w:rsidR="00824A6D" w:rsidRPr="006B4F67" w:rsidRDefault="00824A6D" w:rsidP="00824A6D">
            <w:pPr>
              <w:rPr>
                <w:lang w:val="sr-Cyrl-RS"/>
              </w:rPr>
            </w:pPr>
          </w:p>
        </w:tc>
      </w:tr>
      <w:tr w:rsidR="00824A6D" w:rsidRPr="006B4F67" w14:paraId="72CB7067" w14:textId="77777777" w:rsidTr="007553DB">
        <w:trPr>
          <w:trHeight w:val="340"/>
          <w:jc w:val="center"/>
        </w:trPr>
        <w:tc>
          <w:tcPr>
            <w:tcW w:w="539" w:type="dxa"/>
            <w:vMerge w:val="restart"/>
            <w:shd w:val="clear" w:color="auto" w:fill="F3F3F3"/>
            <w:vAlign w:val="center"/>
          </w:tcPr>
          <w:p w14:paraId="420D3CC0" w14:textId="77777777" w:rsidR="00824A6D" w:rsidRPr="006B4F67" w:rsidRDefault="00824A6D" w:rsidP="00824A6D">
            <w:pPr>
              <w:jc w:val="center"/>
              <w:rPr>
                <w:sz w:val="18"/>
                <w:szCs w:val="18"/>
                <w:lang w:val="sr-Cyrl-RS"/>
              </w:rPr>
            </w:pPr>
            <w:r w:rsidRPr="006B4F67">
              <w:rPr>
                <w:sz w:val="18"/>
                <w:szCs w:val="18"/>
                <w:lang w:val="sr-Cyrl-RS"/>
              </w:rPr>
              <w:t>3.</w:t>
            </w:r>
          </w:p>
        </w:tc>
        <w:tc>
          <w:tcPr>
            <w:tcW w:w="6294" w:type="dxa"/>
            <w:gridSpan w:val="5"/>
            <w:shd w:val="clear" w:color="auto" w:fill="auto"/>
            <w:vAlign w:val="center"/>
          </w:tcPr>
          <w:p w14:paraId="10E07290" w14:textId="0EA3EAF8" w:rsidR="00824A6D" w:rsidRPr="006B4F67" w:rsidRDefault="00AB7825" w:rsidP="00824A6D">
            <w:pPr>
              <w:rPr>
                <w:sz w:val="20"/>
                <w:szCs w:val="20"/>
                <w:lang w:val="sr-Cyrl-RS"/>
              </w:rPr>
            </w:pPr>
            <w:r w:rsidRPr="006B4F67">
              <w:rPr>
                <w:sz w:val="20"/>
                <w:szCs w:val="20"/>
                <w:lang w:val="sr-Cyrl-RS"/>
              </w:rPr>
              <w:t>Др Надежда Силашки, редовни професор</w:t>
            </w:r>
          </w:p>
        </w:tc>
        <w:tc>
          <w:tcPr>
            <w:tcW w:w="1623" w:type="dxa"/>
            <w:gridSpan w:val="2"/>
            <w:shd w:val="clear" w:color="auto" w:fill="auto"/>
            <w:vAlign w:val="center"/>
          </w:tcPr>
          <w:p w14:paraId="0D97A581" w14:textId="77777777" w:rsidR="00824A6D" w:rsidRPr="006B4F67" w:rsidRDefault="00824A6D" w:rsidP="00824A6D">
            <w:pPr>
              <w:jc w:val="center"/>
              <w:rPr>
                <w:sz w:val="20"/>
                <w:szCs w:val="20"/>
                <w:lang w:val="sr-Cyrl-RS"/>
              </w:rPr>
            </w:pPr>
            <w:r w:rsidRPr="006B4F67">
              <w:rPr>
                <w:sz w:val="20"/>
                <w:szCs w:val="20"/>
                <w:lang w:val="sr-Cyrl-RS"/>
              </w:rPr>
              <w:t>члан</w:t>
            </w:r>
          </w:p>
        </w:tc>
        <w:tc>
          <w:tcPr>
            <w:tcW w:w="2425" w:type="dxa"/>
            <w:gridSpan w:val="4"/>
            <w:vMerge w:val="restart"/>
            <w:vAlign w:val="center"/>
          </w:tcPr>
          <w:p w14:paraId="0DB4F944" w14:textId="77777777" w:rsidR="00824A6D" w:rsidRPr="006B4F67" w:rsidRDefault="00824A6D" w:rsidP="00824A6D">
            <w:pPr>
              <w:rPr>
                <w:lang w:val="sr-Cyrl-RS"/>
              </w:rPr>
            </w:pPr>
          </w:p>
        </w:tc>
      </w:tr>
      <w:tr w:rsidR="00824A6D" w:rsidRPr="006B4F67" w14:paraId="71ED8DBC" w14:textId="77777777" w:rsidTr="007553DB">
        <w:trPr>
          <w:trHeight w:val="340"/>
          <w:jc w:val="center"/>
        </w:trPr>
        <w:tc>
          <w:tcPr>
            <w:tcW w:w="539" w:type="dxa"/>
            <w:vMerge/>
            <w:shd w:val="clear" w:color="auto" w:fill="F3F3F3"/>
            <w:vAlign w:val="center"/>
          </w:tcPr>
          <w:p w14:paraId="01A4234C" w14:textId="77777777" w:rsidR="00824A6D" w:rsidRPr="006B4F67" w:rsidRDefault="00824A6D" w:rsidP="00824A6D">
            <w:pPr>
              <w:jc w:val="center"/>
              <w:rPr>
                <w:sz w:val="18"/>
                <w:szCs w:val="18"/>
                <w:lang w:val="sr-Cyrl-RS"/>
              </w:rPr>
            </w:pPr>
          </w:p>
        </w:tc>
        <w:tc>
          <w:tcPr>
            <w:tcW w:w="3483" w:type="dxa"/>
            <w:gridSpan w:val="4"/>
            <w:tcBorders>
              <w:right w:val="single" w:sz="4" w:space="0" w:color="BFBFBF"/>
            </w:tcBorders>
            <w:shd w:val="clear" w:color="auto" w:fill="auto"/>
            <w:vAlign w:val="center"/>
          </w:tcPr>
          <w:p w14:paraId="23ECFA7B" w14:textId="77777777" w:rsidR="004619C6" w:rsidRPr="006B4F67" w:rsidRDefault="00AB7825" w:rsidP="00824A6D">
            <w:pPr>
              <w:jc w:val="center"/>
              <w:rPr>
                <w:sz w:val="20"/>
                <w:szCs w:val="20"/>
                <w:lang w:val="sr-Cyrl-RS"/>
              </w:rPr>
            </w:pPr>
            <w:r w:rsidRPr="006B4F67">
              <w:rPr>
                <w:sz w:val="20"/>
                <w:szCs w:val="20"/>
                <w:lang w:val="sr-Cyrl-RS"/>
              </w:rPr>
              <w:t>Међународни економски односи</w:t>
            </w:r>
          </w:p>
          <w:p w14:paraId="10EAC21A" w14:textId="6A85A3E2" w:rsidR="00824A6D" w:rsidRPr="006B4F67" w:rsidRDefault="00AB7825" w:rsidP="00824A6D">
            <w:pPr>
              <w:jc w:val="center"/>
              <w:rPr>
                <w:sz w:val="20"/>
                <w:szCs w:val="20"/>
                <w:lang w:val="sr-Cyrl-RS"/>
              </w:rPr>
            </w:pPr>
            <w:r w:rsidRPr="006B4F67">
              <w:rPr>
                <w:sz w:val="20"/>
                <w:szCs w:val="20"/>
                <w:lang w:val="sr-Cyrl-RS"/>
              </w:rPr>
              <w:t xml:space="preserve"> – енглески језик</w:t>
            </w:r>
          </w:p>
        </w:tc>
        <w:tc>
          <w:tcPr>
            <w:tcW w:w="4434" w:type="dxa"/>
            <w:gridSpan w:val="3"/>
            <w:tcBorders>
              <w:left w:val="single" w:sz="4" w:space="0" w:color="BFBFBF"/>
            </w:tcBorders>
            <w:shd w:val="clear" w:color="auto" w:fill="auto"/>
            <w:vAlign w:val="center"/>
          </w:tcPr>
          <w:p w14:paraId="1925085C" w14:textId="4A0317A8" w:rsidR="00824A6D" w:rsidRPr="006B4F67" w:rsidRDefault="00AB7825" w:rsidP="00824A6D">
            <w:pPr>
              <w:jc w:val="center"/>
              <w:rPr>
                <w:sz w:val="20"/>
                <w:szCs w:val="20"/>
                <w:lang w:val="sr-Cyrl-RS"/>
              </w:rPr>
            </w:pPr>
            <w:r w:rsidRPr="006B4F67">
              <w:rPr>
                <w:sz w:val="20"/>
                <w:szCs w:val="20"/>
                <w:lang w:val="sr-Cyrl-RS"/>
              </w:rPr>
              <w:t>Економски факултет Универзитета у Београду</w:t>
            </w:r>
          </w:p>
        </w:tc>
        <w:tc>
          <w:tcPr>
            <w:tcW w:w="2425" w:type="dxa"/>
            <w:gridSpan w:val="4"/>
            <w:vMerge/>
            <w:vAlign w:val="center"/>
          </w:tcPr>
          <w:p w14:paraId="3CBE7725" w14:textId="77777777" w:rsidR="00824A6D" w:rsidRPr="006B4F67" w:rsidRDefault="00824A6D" w:rsidP="00824A6D">
            <w:pPr>
              <w:rPr>
                <w:lang w:val="sr-Cyrl-RS"/>
              </w:rPr>
            </w:pPr>
          </w:p>
        </w:tc>
      </w:tr>
      <w:tr w:rsidR="00824A6D" w:rsidRPr="006B4F67" w14:paraId="0ED01CA3" w14:textId="77777777" w:rsidTr="00901094">
        <w:trPr>
          <w:trHeight w:val="211"/>
          <w:jc w:val="center"/>
        </w:trPr>
        <w:tc>
          <w:tcPr>
            <w:tcW w:w="539" w:type="dxa"/>
            <w:vMerge/>
            <w:tcBorders>
              <w:bottom w:val="single" w:sz="4" w:space="0" w:color="BFBFBF"/>
            </w:tcBorders>
            <w:shd w:val="clear" w:color="auto" w:fill="F3F3F3"/>
            <w:vAlign w:val="center"/>
          </w:tcPr>
          <w:p w14:paraId="41634BCD" w14:textId="77777777" w:rsidR="00824A6D" w:rsidRPr="006B4F67" w:rsidRDefault="00824A6D" w:rsidP="00824A6D">
            <w:pPr>
              <w:jc w:val="center"/>
              <w:rPr>
                <w:sz w:val="18"/>
                <w:szCs w:val="18"/>
                <w:lang w:val="sr-Cyrl-RS"/>
              </w:rPr>
            </w:pPr>
          </w:p>
        </w:tc>
        <w:tc>
          <w:tcPr>
            <w:tcW w:w="3483" w:type="dxa"/>
            <w:gridSpan w:val="4"/>
            <w:tcBorders>
              <w:right w:val="single" w:sz="4" w:space="0" w:color="BFBFBF"/>
            </w:tcBorders>
            <w:shd w:val="clear" w:color="auto" w:fill="auto"/>
            <w:vAlign w:val="center"/>
          </w:tcPr>
          <w:p w14:paraId="195FBD89" w14:textId="77777777" w:rsidR="00824A6D" w:rsidRPr="006B4F67" w:rsidRDefault="00824A6D" w:rsidP="00824A6D">
            <w:pPr>
              <w:jc w:val="center"/>
              <w:rPr>
                <w:sz w:val="20"/>
                <w:szCs w:val="20"/>
                <w:lang w:val="sr-Cyrl-RS"/>
              </w:rPr>
            </w:pPr>
            <w:r w:rsidRPr="006B4F67">
              <w:rPr>
                <w:color w:val="999999"/>
                <w:sz w:val="20"/>
                <w:szCs w:val="20"/>
                <w:lang w:val="sr-Cyrl-RS"/>
              </w:rPr>
              <w:t>(Научна област)</w:t>
            </w:r>
          </w:p>
        </w:tc>
        <w:tc>
          <w:tcPr>
            <w:tcW w:w="4434" w:type="dxa"/>
            <w:gridSpan w:val="3"/>
            <w:tcBorders>
              <w:left w:val="single" w:sz="4" w:space="0" w:color="BFBFBF"/>
            </w:tcBorders>
            <w:shd w:val="clear" w:color="auto" w:fill="auto"/>
            <w:vAlign w:val="center"/>
          </w:tcPr>
          <w:p w14:paraId="08F6DDE1" w14:textId="77777777" w:rsidR="00824A6D" w:rsidRPr="006B4F67" w:rsidRDefault="00824A6D" w:rsidP="00824A6D">
            <w:pPr>
              <w:jc w:val="center"/>
              <w:rPr>
                <w:sz w:val="20"/>
                <w:szCs w:val="20"/>
                <w:lang w:val="sr-Cyrl-RS"/>
              </w:rPr>
            </w:pPr>
            <w:r w:rsidRPr="006B4F67">
              <w:rPr>
                <w:color w:val="999999"/>
                <w:sz w:val="20"/>
                <w:szCs w:val="20"/>
                <w:lang w:val="sr-Cyrl-RS"/>
              </w:rPr>
              <w:t>(Установа у којој је запослен)</w:t>
            </w:r>
          </w:p>
        </w:tc>
        <w:tc>
          <w:tcPr>
            <w:tcW w:w="2425" w:type="dxa"/>
            <w:gridSpan w:val="4"/>
            <w:vMerge/>
            <w:tcBorders>
              <w:bottom w:val="single" w:sz="4" w:space="0" w:color="BFBFBF"/>
            </w:tcBorders>
            <w:vAlign w:val="center"/>
          </w:tcPr>
          <w:p w14:paraId="01AAC18E" w14:textId="77777777" w:rsidR="00824A6D" w:rsidRPr="006B4F67" w:rsidRDefault="00824A6D" w:rsidP="00824A6D">
            <w:pPr>
              <w:rPr>
                <w:lang w:val="sr-Cyrl-RS"/>
              </w:rPr>
            </w:pPr>
          </w:p>
        </w:tc>
      </w:tr>
      <w:tr w:rsidR="00AB7825" w:rsidRPr="006B4F67" w14:paraId="05701B5D" w14:textId="77777777" w:rsidTr="00F5463C">
        <w:trPr>
          <w:trHeight w:val="340"/>
          <w:jc w:val="center"/>
        </w:trPr>
        <w:tc>
          <w:tcPr>
            <w:tcW w:w="539" w:type="dxa"/>
            <w:vMerge w:val="restart"/>
            <w:shd w:val="clear" w:color="auto" w:fill="F3F3F3"/>
            <w:vAlign w:val="center"/>
          </w:tcPr>
          <w:p w14:paraId="60E74799" w14:textId="77777777" w:rsidR="00AB7825" w:rsidRPr="006B4F67" w:rsidRDefault="00AB7825" w:rsidP="00AB7825">
            <w:pPr>
              <w:jc w:val="center"/>
              <w:rPr>
                <w:sz w:val="18"/>
                <w:szCs w:val="18"/>
                <w:lang w:val="sr-Cyrl-RS"/>
              </w:rPr>
            </w:pPr>
            <w:r w:rsidRPr="006B4F67">
              <w:rPr>
                <w:sz w:val="18"/>
                <w:szCs w:val="18"/>
                <w:lang w:val="sr-Cyrl-RS"/>
              </w:rPr>
              <w:t>4.</w:t>
            </w:r>
          </w:p>
        </w:tc>
        <w:tc>
          <w:tcPr>
            <w:tcW w:w="6321" w:type="dxa"/>
            <w:gridSpan w:val="6"/>
            <w:shd w:val="clear" w:color="auto" w:fill="auto"/>
            <w:vAlign w:val="center"/>
          </w:tcPr>
          <w:p w14:paraId="23B293C6" w14:textId="1C6F6B14" w:rsidR="00AB7825" w:rsidRPr="006B4F67" w:rsidRDefault="00AB7825" w:rsidP="00AB7825">
            <w:pPr>
              <w:rPr>
                <w:color w:val="000000"/>
                <w:sz w:val="20"/>
                <w:szCs w:val="20"/>
                <w:lang w:val="sr-Cyrl-RS"/>
              </w:rPr>
            </w:pPr>
            <w:r w:rsidRPr="006B4F67">
              <w:rPr>
                <w:sz w:val="20"/>
                <w:szCs w:val="20"/>
                <w:lang w:val="sr-Cyrl-RS"/>
              </w:rPr>
              <w:t>Др Милош Тасић, доцент</w:t>
            </w:r>
          </w:p>
        </w:tc>
        <w:tc>
          <w:tcPr>
            <w:tcW w:w="1596" w:type="dxa"/>
            <w:shd w:val="clear" w:color="auto" w:fill="auto"/>
            <w:vAlign w:val="center"/>
          </w:tcPr>
          <w:p w14:paraId="14DBC895" w14:textId="77777777" w:rsidR="00AB7825" w:rsidRPr="006B4F67" w:rsidRDefault="00AB7825" w:rsidP="00AB7825">
            <w:pPr>
              <w:jc w:val="center"/>
              <w:rPr>
                <w:color w:val="000000"/>
                <w:sz w:val="20"/>
                <w:szCs w:val="20"/>
                <w:lang w:val="sr-Cyrl-RS"/>
              </w:rPr>
            </w:pPr>
            <w:r w:rsidRPr="006B4F67">
              <w:rPr>
                <w:color w:val="000000"/>
                <w:sz w:val="20"/>
                <w:szCs w:val="20"/>
                <w:lang w:val="sr-Cyrl-RS"/>
              </w:rPr>
              <w:t>члан</w:t>
            </w:r>
          </w:p>
        </w:tc>
        <w:tc>
          <w:tcPr>
            <w:tcW w:w="2425" w:type="dxa"/>
            <w:gridSpan w:val="4"/>
            <w:vMerge w:val="restart"/>
            <w:vAlign w:val="center"/>
          </w:tcPr>
          <w:p w14:paraId="4EAAB1B4" w14:textId="77777777" w:rsidR="00AB7825" w:rsidRPr="006B4F67" w:rsidRDefault="00AB7825" w:rsidP="00AB7825">
            <w:pPr>
              <w:rPr>
                <w:lang w:val="sr-Cyrl-RS"/>
              </w:rPr>
            </w:pPr>
          </w:p>
        </w:tc>
      </w:tr>
      <w:tr w:rsidR="00AB7825" w:rsidRPr="006B4F67" w14:paraId="3EF822B5" w14:textId="77777777" w:rsidTr="00F5463C">
        <w:trPr>
          <w:trHeight w:val="340"/>
          <w:jc w:val="center"/>
        </w:trPr>
        <w:tc>
          <w:tcPr>
            <w:tcW w:w="539" w:type="dxa"/>
            <w:vMerge/>
            <w:shd w:val="clear" w:color="auto" w:fill="F3F3F3"/>
            <w:vAlign w:val="center"/>
          </w:tcPr>
          <w:p w14:paraId="38D67183" w14:textId="77777777" w:rsidR="00AB7825" w:rsidRPr="006B4F67" w:rsidRDefault="00AB7825" w:rsidP="00AB7825">
            <w:pPr>
              <w:jc w:val="center"/>
              <w:rPr>
                <w:sz w:val="18"/>
                <w:szCs w:val="18"/>
                <w:lang w:val="sr-Cyrl-RS"/>
              </w:rPr>
            </w:pPr>
          </w:p>
        </w:tc>
        <w:tc>
          <w:tcPr>
            <w:tcW w:w="3483" w:type="dxa"/>
            <w:gridSpan w:val="4"/>
            <w:tcBorders>
              <w:right w:val="single" w:sz="4" w:space="0" w:color="BFBFBF"/>
            </w:tcBorders>
            <w:shd w:val="clear" w:color="auto" w:fill="auto"/>
            <w:vAlign w:val="center"/>
          </w:tcPr>
          <w:p w14:paraId="15CD874F" w14:textId="100892CC" w:rsidR="00AB7825" w:rsidRPr="006B4F67" w:rsidRDefault="00AB7825" w:rsidP="00AB7825">
            <w:pPr>
              <w:jc w:val="center"/>
              <w:rPr>
                <w:color w:val="000000"/>
                <w:sz w:val="20"/>
                <w:szCs w:val="20"/>
                <w:lang w:val="sr-Cyrl-RS"/>
              </w:rPr>
            </w:pPr>
            <w:r w:rsidRPr="006B4F67">
              <w:rPr>
                <w:sz w:val="20"/>
                <w:szCs w:val="20"/>
                <w:lang w:val="sr-Cyrl-RS"/>
              </w:rPr>
              <w:t>Енглески језик</w:t>
            </w:r>
          </w:p>
        </w:tc>
        <w:tc>
          <w:tcPr>
            <w:tcW w:w="4434" w:type="dxa"/>
            <w:gridSpan w:val="3"/>
            <w:tcBorders>
              <w:left w:val="single" w:sz="4" w:space="0" w:color="BFBFBF"/>
            </w:tcBorders>
            <w:shd w:val="clear" w:color="auto" w:fill="auto"/>
            <w:vAlign w:val="center"/>
          </w:tcPr>
          <w:p w14:paraId="08CC9794" w14:textId="3FC0521A" w:rsidR="00AB7825" w:rsidRPr="006B4F67" w:rsidRDefault="00AB7825" w:rsidP="00AB7825">
            <w:pPr>
              <w:jc w:val="center"/>
              <w:rPr>
                <w:color w:val="000000"/>
                <w:sz w:val="20"/>
                <w:szCs w:val="20"/>
                <w:lang w:val="sr-Cyrl-RS"/>
              </w:rPr>
            </w:pPr>
            <w:r w:rsidRPr="006B4F67">
              <w:rPr>
                <w:sz w:val="20"/>
                <w:szCs w:val="20"/>
                <w:lang w:val="sr-Cyrl-RS"/>
              </w:rPr>
              <w:t>Машински факултет Универзитета у Нишу</w:t>
            </w:r>
          </w:p>
        </w:tc>
        <w:tc>
          <w:tcPr>
            <w:tcW w:w="2425" w:type="dxa"/>
            <w:gridSpan w:val="4"/>
            <w:vMerge/>
            <w:vAlign w:val="center"/>
          </w:tcPr>
          <w:p w14:paraId="2BDFACE2" w14:textId="77777777" w:rsidR="00AB7825" w:rsidRPr="006B4F67" w:rsidRDefault="00AB7825" w:rsidP="00AB7825">
            <w:pPr>
              <w:rPr>
                <w:lang w:val="sr-Cyrl-RS"/>
              </w:rPr>
            </w:pPr>
          </w:p>
        </w:tc>
      </w:tr>
      <w:tr w:rsidR="00824A6D" w:rsidRPr="006B4F67" w14:paraId="6236EAA3" w14:textId="77777777" w:rsidTr="00901094">
        <w:trPr>
          <w:trHeight w:val="125"/>
          <w:jc w:val="center"/>
        </w:trPr>
        <w:tc>
          <w:tcPr>
            <w:tcW w:w="539" w:type="dxa"/>
            <w:vMerge/>
            <w:tcBorders>
              <w:bottom w:val="single" w:sz="4" w:space="0" w:color="BFBFBF"/>
            </w:tcBorders>
            <w:shd w:val="clear" w:color="auto" w:fill="F3F3F3"/>
            <w:vAlign w:val="center"/>
          </w:tcPr>
          <w:p w14:paraId="505853F8" w14:textId="77777777" w:rsidR="00824A6D" w:rsidRPr="006B4F67" w:rsidRDefault="00824A6D" w:rsidP="00824A6D">
            <w:pPr>
              <w:jc w:val="center"/>
              <w:rPr>
                <w:sz w:val="18"/>
                <w:szCs w:val="18"/>
                <w:lang w:val="sr-Cyrl-RS"/>
              </w:rPr>
            </w:pPr>
          </w:p>
        </w:tc>
        <w:tc>
          <w:tcPr>
            <w:tcW w:w="3483" w:type="dxa"/>
            <w:gridSpan w:val="4"/>
            <w:tcBorders>
              <w:right w:val="single" w:sz="4" w:space="0" w:color="BFBFBF"/>
            </w:tcBorders>
            <w:shd w:val="clear" w:color="auto" w:fill="auto"/>
            <w:vAlign w:val="center"/>
          </w:tcPr>
          <w:p w14:paraId="679A1F3E" w14:textId="77777777" w:rsidR="00824A6D" w:rsidRPr="006B4F67" w:rsidRDefault="00824A6D" w:rsidP="00824A6D">
            <w:pPr>
              <w:jc w:val="center"/>
              <w:rPr>
                <w:color w:val="999999"/>
                <w:sz w:val="20"/>
                <w:szCs w:val="20"/>
                <w:lang w:val="sr-Cyrl-RS"/>
              </w:rPr>
            </w:pPr>
            <w:r w:rsidRPr="006B4F67">
              <w:rPr>
                <w:color w:val="999999"/>
                <w:sz w:val="20"/>
                <w:szCs w:val="20"/>
                <w:lang w:val="sr-Cyrl-RS"/>
              </w:rPr>
              <w:t>(Научна област)</w:t>
            </w:r>
          </w:p>
        </w:tc>
        <w:tc>
          <w:tcPr>
            <w:tcW w:w="4434" w:type="dxa"/>
            <w:gridSpan w:val="3"/>
            <w:tcBorders>
              <w:left w:val="single" w:sz="4" w:space="0" w:color="BFBFBF"/>
            </w:tcBorders>
            <w:shd w:val="clear" w:color="auto" w:fill="auto"/>
            <w:vAlign w:val="center"/>
          </w:tcPr>
          <w:p w14:paraId="1EAD78AC" w14:textId="77777777" w:rsidR="00824A6D" w:rsidRPr="006B4F67" w:rsidRDefault="00824A6D" w:rsidP="00824A6D">
            <w:pPr>
              <w:jc w:val="center"/>
              <w:rPr>
                <w:color w:val="999999"/>
                <w:sz w:val="20"/>
                <w:szCs w:val="20"/>
                <w:lang w:val="sr-Cyrl-RS"/>
              </w:rPr>
            </w:pPr>
            <w:r w:rsidRPr="006B4F67">
              <w:rPr>
                <w:color w:val="999999"/>
                <w:sz w:val="20"/>
                <w:szCs w:val="20"/>
                <w:lang w:val="sr-Cyrl-RS"/>
              </w:rPr>
              <w:t>(Установа у којој је запослен)</w:t>
            </w:r>
          </w:p>
        </w:tc>
        <w:tc>
          <w:tcPr>
            <w:tcW w:w="2425" w:type="dxa"/>
            <w:gridSpan w:val="4"/>
            <w:vMerge/>
            <w:tcBorders>
              <w:bottom w:val="single" w:sz="4" w:space="0" w:color="BFBFBF"/>
            </w:tcBorders>
            <w:vAlign w:val="center"/>
          </w:tcPr>
          <w:p w14:paraId="7FFB2E94" w14:textId="77777777" w:rsidR="00824A6D" w:rsidRPr="006B4F67" w:rsidRDefault="00824A6D" w:rsidP="00824A6D">
            <w:pPr>
              <w:rPr>
                <w:lang w:val="sr-Cyrl-RS"/>
              </w:rPr>
            </w:pPr>
          </w:p>
        </w:tc>
      </w:tr>
      <w:tr w:rsidR="00824A6D" w:rsidRPr="006B4F67" w14:paraId="3D1039B1" w14:textId="77777777" w:rsidTr="00743CA1">
        <w:trPr>
          <w:trHeight w:val="340"/>
          <w:jc w:val="center"/>
        </w:trPr>
        <w:tc>
          <w:tcPr>
            <w:tcW w:w="10881" w:type="dxa"/>
            <w:gridSpan w:val="12"/>
          </w:tcPr>
          <w:p w14:paraId="6FD44741" w14:textId="77777777" w:rsidR="00824A6D" w:rsidRPr="006B4F67" w:rsidRDefault="00824A6D" w:rsidP="00824A6D">
            <w:pPr>
              <w:rPr>
                <w:sz w:val="16"/>
                <w:szCs w:val="16"/>
                <w:lang w:val="sr-Cyrl-RS"/>
              </w:rPr>
            </w:pPr>
            <w:r w:rsidRPr="006B4F67">
              <w:rPr>
                <w:sz w:val="22"/>
                <w:szCs w:val="22"/>
                <w:lang w:val="sr-Cyrl-RS"/>
              </w:rPr>
              <w:t xml:space="preserve"> </w:t>
            </w:r>
          </w:p>
          <w:p w14:paraId="3DBE72DD" w14:textId="77777777" w:rsidR="00824A6D" w:rsidRPr="006B4F67" w:rsidRDefault="00824A6D" w:rsidP="00824A6D">
            <w:pPr>
              <w:rPr>
                <w:rFonts w:eastAsia="TimesNewRomanPS-BoldMT"/>
                <w:bCs/>
                <w:sz w:val="22"/>
                <w:szCs w:val="22"/>
                <w:lang w:val="sr-Cyrl-RS"/>
              </w:rPr>
            </w:pPr>
            <w:r w:rsidRPr="006B4F67">
              <w:rPr>
                <w:sz w:val="22"/>
                <w:szCs w:val="22"/>
                <w:lang w:val="sr-Cyrl-RS"/>
              </w:rPr>
              <w:t xml:space="preserve">   </w:t>
            </w:r>
            <w:r w:rsidRPr="006B4F67">
              <w:rPr>
                <w:rFonts w:eastAsia="TimesNewRomanPS-BoldMT"/>
                <w:bCs/>
                <w:sz w:val="22"/>
                <w:szCs w:val="22"/>
                <w:lang w:val="sr-Cyrl-RS"/>
              </w:rPr>
              <w:t>Датум и место:</w:t>
            </w:r>
          </w:p>
          <w:p w14:paraId="4E4951A4" w14:textId="0A18C649" w:rsidR="00824A6D" w:rsidRPr="006B4F67" w:rsidRDefault="00824A6D" w:rsidP="00824A6D">
            <w:pPr>
              <w:rPr>
                <w:b/>
                <w:sz w:val="22"/>
                <w:szCs w:val="22"/>
                <w:lang w:val="sr-Cyrl-RS"/>
              </w:rPr>
            </w:pPr>
            <w:r w:rsidRPr="006B4F67">
              <w:rPr>
                <w:sz w:val="22"/>
                <w:szCs w:val="22"/>
                <w:lang w:val="sr-Cyrl-RS"/>
              </w:rPr>
              <w:t xml:space="preserve">   </w:t>
            </w:r>
            <w:r w:rsidR="007A417C" w:rsidRPr="006B4F67">
              <w:rPr>
                <w:sz w:val="22"/>
                <w:szCs w:val="22"/>
                <w:lang w:val="sr-Cyrl-RS"/>
              </w:rPr>
              <w:t>6</w:t>
            </w:r>
            <w:r w:rsidRPr="006B4F67">
              <w:rPr>
                <w:sz w:val="22"/>
                <w:szCs w:val="22"/>
                <w:lang w:val="sr-Cyrl-RS"/>
              </w:rPr>
              <w:t xml:space="preserve">. </w:t>
            </w:r>
            <w:r w:rsidR="007A417C" w:rsidRPr="006B4F67">
              <w:rPr>
                <w:sz w:val="22"/>
                <w:szCs w:val="22"/>
                <w:lang w:val="sr-Cyrl-RS"/>
              </w:rPr>
              <w:t>7</w:t>
            </w:r>
            <w:r w:rsidRPr="006B4F67">
              <w:rPr>
                <w:sz w:val="22"/>
                <w:szCs w:val="22"/>
                <w:lang w:val="sr-Cyrl-RS"/>
              </w:rPr>
              <w:t>. 2021.</w:t>
            </w:r>
            <w:r w:rsidR="007A417C" w:rsidRPr="006B4F67">
              <w:rPr>
                <w:sz w:val="22"/>
                <w:szCs w:val="22"/>
                <w:lang w:val="sr-Cyrl-RS"/>
              </w:rPr>
              <w:t xml:space="preserve"> године</w:t>
            </w:r>
          </w:p>
          <w:p w14:paraId="0C41380E" w14:textId="739EF4E7" w:rsidR="00824A6D" w:rsidRPr="006B4F67" w:rsidRDefault="00824A6D" w:rsidP="00DC21A5">
            <w:pPr>
              <w:spacing w:line="360" w:lineRule="auto"/>
              <w:rPr>
                <w:lang w:val="sr-Cyrl-RS"/>
              </w:rPr>
            </w:pPr>
            <w:r w:rsidRPr="006B4F67">
              <w:rPr>
                <w:sz w:val="22"/>
                <w:szCs w:val="22"/>
                <w:lang w:val="sr-Cyrl-RS"/>
              </w:rPr>
              <w:t xml:space="preserve">   Ниш и </w:t>
            </w:r>
            <w:r w:rsidR="007A417C" w:rsidRPr="006B4F67">
              <w:rPr>
                <w:sz w:val="22"/>
                <w:szCs w:val="22"/>
                <w:lang w:val="sr-Cyrl-RS"/>
              </w:rPr>
              <w:t>Београд</w:t>
            </w:r>
            <w:r w:rsidRPr="006B4F67">
              <w:rPr>
                <w:sz w:val="22"/>
                <w:szCs w:val="22"/>
                <w:lang w:val="sr-Cyrl-RS"/>
              </w:rPr>
              <w:t xml:space="preserve"> </w:t>
            </w:r>
          </w:p>
        </w:tc>
      </w:tr>
    </w:tbl>
    <w:p w14:paraId="32821584" w14:textId="77777777" w:rsidR="00461C9C" w:rsidRPr="006B4F67" w:rsidRDefault="00461C9C" w:rsidP="00503474">
      <w:pPr>
        <w:rPr>
          <w:lang w:val="sr-Cyrl-RS"/>
        </w:rPr>
      </w:pPr>
    </w:p>
    <w:sectPr w:rsidR="00461C9C" w:rsidRPr="006B4F67" w:rsidSect="0066453F">
      <w:pgSz w:w="11906" w:h="16838"/>
      <w:pgMar w:top="454" w:right="1418" w:bottom="17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C9C"/>
    <w:rsid w:val="00004DE0"/>
    <w:rsid w:val="00026B20"/>
    <w:rsid w:val="00040168"/>
    <w:rsid w:val="00054CC6"/>
    <w:rsid w:val="000679CF"/>
    <w:rsid w:val="0007289B"/>
    <w:rsid w:val="000778C7"/>
    <w:rsid w:val="000907FA"/>
    <w:rsid w:val="000A5CD2"/>
    <w:rsid w:val="000B2581"/>
    <w:rsid w:val="000B58B1"/>
    <w:rsid w:val="000C09B1"/>
    <w:rsid w:val="000C432C"/>
    <w:rsid w:val="000F590D"/>
    <w:rsid w:val="001105E4"/>
    <w:rsid w:val="00132A3F"/>
    <w:rsid w:val="001338F1"/>
    <w:rsid w:val="0014495B"/>
    <w:rsid w:val="00145C2A"/>
    <w:rsid w:val="00154C1B"/>
    <w:rsid w:val="001757E7"/>
    <w:rsid w:val="00195B3E"/>
    <w:rsid w:val="00195BB6"/>
    <w:rsid w:val="001972CF"/>
    <w:rsid w:val="001A177C"/>
    <w:rsid w:val="001A6709"/>
    <w:rsid w:val="001C7570"/>
    <w:rsid w:val="001D0654"/>
    <w:rsid w:val="001E7D50"/>
    <w:rsid w:val="001F2371"/>
    <w:rsid w:val="00205B75"/>
    <w:rsid w:val="00220EEB"/>
    <w:rsid w:val="00222F80"/>
    <w:rsid w:val="00235E65"/>
    <w:rsid w:val="002470B5"/>
    <w:rsid w:val="00277462"/>
    <w:rsid w:val="00292E6D"/>
    <w:rsid w:val="00295B20"/>
    <w:rsid w:val="002B77D5"/>
    <w:rsid w:val="002C3A1C"/>
    <w:rsid w:val="002C419A"/>
    <w:rsid w:val="002D3238"/>
    <w:rsid w:val="002E0369"/>
    <w:rsid w:val="002E4CE3"/>
    <w:rsid w:val="002E5C71"/>
    <w:rsid w:val="00302866"/>
    <w:rsid w:val="003210FB"/>
    <w:rsid w:val="0032289C"/>
    <w:rsid w:val="003343DD"/>
    <w:rsid w:val="003926CB"/>
    <w:rsid w:val="003979EA"/>
    <w:rsid w:val="003A66A1"/>
    <w:rsid w:val="003D4F33"/>
    <w:rsid w:val="003F0CFD"/>
    <w:rsid w:val="003F2373"/>
    <w:rsid w:val="003F44B0"/>
    <w:rsid w:val="003F7029"/>
    <w:rsid w:val="004248FA"/>
    <w:rsid w:val="00446F45"/>
    <w:rsid w:val="00447BC8"/>
    <w:rsid w:val="00447FE3"/>
    <w:rsid w:val="004506E1"/>
    <w:rsid w:val="0045419F"/>
    <w:rsid w:val="00457426"/>
    <w:rsid w:val="004619C6"/>
    <w:rsid w:val="00461C9C"/>
    <w:rsid w:val="004664E3"/>
    <w:rsid w:val="00476E1C"/>
    <w:rsid w:val="004A58F5"/>
    <w:rsid w:val="004A6DF0"/>
    <w:rsid w:val="004B393C"/>
    <w:rsid w:val="004B66BA"/>
    <w:rsid w:val="004C50E4"/>
    <w:rsid w:val="004F07CD"/>
    <w:rsid w:val="004F7812"/>
    <w:rsid w:val="00503474"/>
    <w:rsid w:val="005151AF"/>
    <w:rsid w:val="00517F01"/>
    <w:rsid w:val="00551CF6"/>
    <w:rsid w:val="00581018"/>
    <w:rsid w:val="00582A1E"/>
    <w:rsid w:val="00592963"/>
    <w:rsid w:val="005A02C8"/>
    <w:rsid w:val="005A23E7"/>
    <w:rsid w:val="005A7A5E"/>
    <w:rsid w:val="005E76DC"/>
    <w:rsid w:val="005F098D"/>
    <w:rsid w:val="005F727C"/>
    <w:rsid w:val="00602334"/>
    <w:rsid w:val="0061470B"/>
    <w:rsid w:val="00641992"/>
    <w:rsid w:val="00641E65"/>
    <w:rsid w:val="00645536"/>
    <w:rsid w:val="00664030"/>
    <w:rsid w:val="0066453F"/>
    <w:rsid w:val="006677E6"/>
    <w:rsid w:val="0067148A"/>
    <w:rsid w:val="006756E2"/>
    <w:rsid w:val="006810EC"/>
    <w:rsid w:val="006917A0"/>
    <w:rsid w:val="006A1660"/>
    <w:rsid w:val="006A651D"/>
    <w:rsid w:val="006A74D2"/>
    <w:rsid w:val="006B3F28"/>
    <w:rsid w:val="006B4F67"/>
    <w:rsid w:val="006E6AC4"/>
    <w:rsid w:val="00706710"/>
    <w:rsid w:val="00706CC5"/>
    <w:rsid w:val="007172B8"/>
    <w:rsid w:val="00724ACF"/>
    <w:rsid w:val="007365A7"/>
    <w:rsid w:val="00741600"/>
    <w:rsid w:val="00743CA1"/>
    <w:rsid w:val="007529D5"/>
    <w:rsid w:val="007553DB"/>
    <w:rsid w:val="007653D0"/>
    <w:rsid w:val="00781470"/>
    <w:rsid w:val="007A0A5B"/>
    <w:rsid w:val="007A2F2B"/>
    <w:rsid w:val="007A417C"/>
    <w:rsid w:val="007E30AE"/>
    <w:rsid w:val="007E3388"/>
    <w:rsid w:val="007E3FDB"/>
    <w:rsid w:val="007F69C9"/>
    <w:rsid w:val="00804FF1"/>
    <w:rsid w:val="00824A6D"/>
    <w:rsid w:val="00834508"/>
    <w:rsid w:val="008523EE"/>
    <w:rsid w:val="00854076"/>
    <w:rsid w:val="0086269E"/>
    <w:rsid w:val="00882E94"/>
    <w:rsid w:val="008A5C57"/>
    <w:rsid w:val="008D3C31"/>
    <w:rsid w:val="00900234"/>
    <w:rsid w:val="00901094"/>
    <w:rsid w:val="00902472"/>
    <w:rsid w:val="00910BC6"/>
    <w:rsid w:val="00931CBF"/>
    <w:rsid w:val="00932870"/>
    <w:rsid w:val="00944B3C"/>
    <w:rsid w:val="009776C6"/>
    <w:rsid w:val="0098539E"/>
    <w:rsid w:val="009973A4"/>
    <w:rsid w:val="009A273B"/>
    <w:rsid w:val="009A6CAA"/>
    <w:rsid w:val="009C15C3"/>
    <w:rsid w:val="009C7166"/>
    <w:rsid w:val="009C7CFD"/>
    <w:rsid w:val="009E4B26"/>
    <w:rsid w:val="009E7ABA"/>
    <w:rsid w:val="009F37A7"/>
    <w:rsid w:val="00A23730"/>
    <w:rsid w:val="00A23795"/>
    <w:rsid w:val="00A25821"/>
    <w:rsid w:val="00A35149"/>
    <w:rsid w:val="00A467E2"/>
    <w:rsid w:val="00A510BD"/>
    <w:rsid w:val="00A57728"/>
    <w:rsid w:val="00A62A4F"/>
    <w:rsid w:val="00A775DA"/>
    <w:rsid w:val="00A92832"/>
    <w:rsid w:val="00A97F25"/>
    <w:rsid w:val="00AA0557"/>
    <w:rsid w:val="00AB50B1"/>
    <w:rsid w:val="00AB7825"/>
    <w:rsid w:val="00B0794B"/>
    <w:rsid w:val="00B51FB7"/>
    <w:rsid w:val="00B638D4"/>
    <w:rsid w:val="00B77224"/>
    <w:rsid w:val="00BA11E7"/>
    <w:rsid w:val="00BA1AA7"/>
    <w:rsid w:val="00BB0108"/>
    <w:rsid w:val="00BB0308"/>
    <w:rsid w:val="00BB295F"/>
    <w:rsid w:val="00BC0CD3"/>
    <w:rsid w:val="00BC7F22"/>
    <w:rsid w:val="00BE1678"/>
    <w:rsid w:val="00BE23E3"/>
    <w:rsid w:val="00BE7406"/>
    <w:rsid w:val="00C02054"/>
    <w:rsid w:val="00C2576E"/>
    <w:rsid w:val="00C2601E"/>
    <w:rsid w:val="00C33B71"/>
    <w:rsid w:val="00C42606"/>
    <w:rsid w:val="00C44455"/>
    <w:rsid w:val="00C549EE"/>
    <w:rsid w:val="00C66E08"/>
    <w:rsid w:val="00C70B76"/>
    <w:rsid w:val="00C80D81"/>
    <w:rsid w:val="00C8227C"/>
    <w:rsid w:val="00CA5EC8"/>
    <w:rsid w:val="00CD4E10"/>
    <w:rsid w:val="00D02493"/>
    <w:rsid w:val="00D1617C"/>
    <w:rsid w:val="00D16957"/>
    <w:rsid w:val="00D30B11"/>
    <w:rsid w:val="00D323B6"/>
    <w:rsid w:val="00D51B88"/>
    <w:rsid w:val="00D54472"/>
    <w:rsid w:val="00D722CA"/>
    <w:rsid w:val="00DA7746"/>
    <w:rsid w:val="00DB133B"/>
    <w:rsid w:val="00DC21A5"/>
    <w:rsid w:val="00DD020E"/>
    <w:rsid w:val="00E14717"/>
    <w:rsid w:val="00E273C3"/>
    <w:rsid w:val="00E35024"/>
    <w:rsid w:val="00E35B10"/>
    <w:rsid w:val="00E371A6"/>
    <w:rsid w:val="00E6087B"/>
    <w:rsid w:val="00E71A96"/>
    <w:rsid w:val="00E71EFA"/>
    <w:rsid w:val="00E804B3"/>
    <w:rsid w:val="00E84125"/>
    <w:rsid w:val="00E859AF"/>
    <w:rsid w:val="00E86C12"/>
    <w:rsid w:val="00E97568"/>
    <w:rsid w:val="00EE5050"/>
    <w:rsid w:val="00EF1FBA"/>
    <w:rsid w:val="00EF7753"/>
    <w:rsid w:val="00F04C2B"/>
    <w:rsid w:val="00F06E1E"/>
    <w:rsid w:val="00F11510"/>
    <w:rsid w:val="00F12CCC"/>
    <w:rsid w:val="00F136F6"/>
    <w:rsid w:val="00F269A5"/>
    <w:rsid w:val="00F5463C"/>
    <w:rsid w:val="00F5653F"/>
    <w:rsid w:val="00F568D8"/>
    <w:rsid w:val="00F6595F"/>
    <w:rsid w:val="00FA0F1A"/>
    <w:rsid w:val="00FA7690"/>
    <w:rsid w:val="00FC6B99"/>
    <w:rsid w:val="00FD28BC"/>
    <w:rsid w:val="00FD6227"/>
    <w:rsid w:val="00FD6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CECB98"/>
  <w15:chartTrackingRefBased/>
  <w15:docId w15:val="{EEAE4614-1FE1-47FD-A66A-CDFD7A733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1C9C"/>
    <w:rPr>
      <w:sz w:val="24"/>
      <w:szCs w:val="24"/>
      <w:lang w:val="en-US"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1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549EE"/>
    <w:rPr>
      <w:color w:val="808080"/>
    </w:rPr>
  </w:style>
  <w:style w:type="character" w:styleId="CommentReference">
    <w:name w:val="annotation reference"/>
    <w:basedOn w:val="DefaultParagraphFont"/>
    <w:rsid w:val="00FD6835"/>
    <w:rPr>
      <w:sz w:val="16"/>
      <w:szCs w:val="16"/>
    </w:rPr>
  </w:style>
  <w:style w:type="paragraph" w:styleId="CommentText">
    <w:name w:val="annotation text"/>
    <w:basedOn w:val="Normal"/>
    <w:link w:val="CommentTextChar"/>
    <w:rsid w:val="00FD6835"/>
    <w:rPr>
      <w:sz w:val="20"/>
      <w:szCs w:val="20"/>
    </w:rPr>
  </w:style>
  <w:style w:type="character" w:customStyle="1" w:styleId="CommentTextChar">
    <w:name w:val="Comment Text Char"/>
    <w:basedOn w:val="DefaultParagraphFont"/>
    <w:link w:val="CommentText"/>
    <w:rsid w:val="00FD6835"/>
    <w:rPr>
      <w:lang w:val="en-US" w:eastAsia="sr-Cyrl-CS"/>
    </w:rPr>
  </w:style>
  <w:style w:type="paragraph" w:styleId="CommentSubject">
    <w:name w:val="annotation subject"/>
    <w:basedOn w:val="CommentText"/>
    <w:next w:val="CommentText"/>
    <w:link w:val="CommentSubjectChar"/>
    <w:rsid w:val="00FD6835"/>
    <w:rPr>
      <w:b/>
      <w:bCs/>
    </w:rPr>
  </w:style>
  <w:style w:type="character" w:customStyle="1" w:styleId="CommentSubjectChar">
    <w:name w:val="Comment Subject Char"/>
    <w:basedOn w:val="CommentTextChar"/>
    <w:link w:val="CommentSubject"/>
    <w:rsid w:val="00FD6835"/>
    <w:rPr>
      <w:b/>
      <w:bCs/>
      <w:lang w:val="en-U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71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993A2-1FA5-4F70-A18A-A8F09D09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2609</Words>
  <Characters>14874</Characters>
  <Application>Microsoft Office Word</Application>
  <DocSecurity>0</DocSecurity>
  <Lines>123</Lines>
  <Paragraphs>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УНИВЕРЗИТЕТ У НИШУ</vt:lpstr>
      <vt:lpstr>УНИВЕРЗИТЕТ У НИШУ</vt:lpstr>
    </vt:vector>
  </TitlesOfParts>
  <Company>Sg</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Bissnis</dc:creator>
  <cp:keywords/>
  <cp:lastModifiedBy>Korisnik</cp:lastModifiedBy>
  <cp:revision>2</cp:revision>
  <cp:lastPrinted>2014-06-18T07:15:00Z</cp:lastPrinted>
  <dcterms:created xsi:type="dcterms:W3CDTF">2021-07-06T11:58:00Z</dcterms:created>
  <dcterms:modified xsi:type="dcterms:W3CDTF">2021-07-06T11:58:00Z</dcterms:modified>
</cp:coreProperties>
</file>