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>
          <w:position w:val="0"/>
          <w:sz w:val="20"/>
          <w:vertAlign w:val="baseline"/>
        </w:rPr>
      </w:pPr>
      <w:r>
        <w:rPr>
          <w:b/>
          <w:position w:val="0"/>
          <w:sz w:val="20"/>
          <w:vertAlign w:val="baseline"/>
        </w:rPr>
        <w:t xml:space="preserve">Табела 5.2 </w:t>
      </w:r>
      <w:r>
        <w:rPr>
          <w:position w:val="0"/>
          <w:sz w:val="20"/>
          <w:vertAlign w:val="baseline"/>
        </w:rPr>
        <w:t>Спецификација  предмета</w:t>
      </w:r>
    </w:p>
    <w:p>
      <w:pPr>
        <w:pStyle w:val="Normal1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  <w:t xml:space="preserve"> </w:t>
      </w:r>
    </w:p>
    <w:tbl>
      <w:tblPr>
        <w:tblStyle w:val="Table1"/>
        <w:tblW w:w="98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51"/>
        <w:gridCol w:w="1048"/>
        <w:gridCol w:w="833"/>
        <w:gridCol w:w="1895"/>
        <w:gridCol w:w="600"/>
        <w:gridCol w:w="2312"/>
        <w:gridCol w:w="1"/>
        <w:gridCol w:w="341"/>
        <w:gridCol w:w="1273"/>
      </w:tblGrid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Студијски програм/студијски програми: Историја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Врста и ниво студија: Мастер академске студије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Назив предмета: Источни Медитеран у средњем веку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 xml:space="preserve">Наставник: </w:t>
            </w:r>
            <w:r>
              <w:rPr>
                <w:b/>
                <w:color w:val="0000CC"/>
                <w:position w:val="0"/>
                <w:sz w:val="20"/>
                <w:u w:val="single"/>
                <w:vertAlign w:val="baseline"/>
              </w:rPr>
              <w:t>Јасмина Шаранац Стаменковић</w:t>
            </w:r>
          </w:p>
          <w:p>
            <w:pPr>
              <w:pStyle w:val="Normal1"/>
              <w:rPr/>
            </w:pPr>
            <w:r>
              <w:rPr>
                <w:b/>
                <w:position w:val="0"/>
                <w:sz w:val="20"/>
                <w:vertAlign w:val="baseline"/>
              </w:rPr>
              <w:t xml:space="preserve">Сарадник:  </w:t>
            </w:r>
            <w:r>
              <w:rPr>
                <w:b w:val="false"/>
                <w:position w:val="0"/>
                <w:sz w:val="20"/>
                <w:vertAlign w:val="baseline"/>
                <w:lang w:val="sr-RS"/>
              </w:rPr>
              <w:t>Радуловић И. Ненад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Статус предмета: изборни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/>
            </w:pPr>
            <w:r>
              <w:rPr>
                <w:position w:val="0"/>
                <w:sz w:val="20"/>
                <w:vertAlign w:val="baseline"/>
              </w:rPr>
              <w:t xml:space="preserve">Број ЕСПБ: </w:t>
            </w:r>
            <w:r>
              <w:rPr>
                <w:position w:val="0"/>
                <w:sz w:val="20"/>
                <w:vertAlign w:val="baseline"/>
              </w:rPr>
              <w:t>4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Услов: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 xml:space="preserve">Циљ предмета:  </w:t>
            </w:r>
          </w:p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Циљ предмета </w:t>
            </w:r>
            <w:r>
              <w:rPr>
                <w:b/>
                <w:position w:val="0"/>
                <w:sz w:val="20"/>
                <w:vertAlign w:val="baseline"/>
              </w:rPr>
              <w:t>Источни Медитеран у средњем веку</w:t>
            </w:r>
            <w:r>
              <w:rPr>
                <w:position w:val="0"/>
                <w:sz w:val="20"/>
                <w:vertAlign w:val="baseline"/>
              </w:rPr>
              <w:t xml:space="preserve"> јесте представљање великих промена на простору источног Средоземља током средњег века, почевши од позноримског времена, преко периода арабљанских освајања и крсташких ратова до доба османске превласти над читавим регионом.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 xml:space="preserve">Исход предмета: </w:t>
            </w:r>
          </w:p>
          <w:p>
            <w:pPr>
              <w:pStyle w:val="Normal1"/>
              <w:widowControl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Студенти ће бити оспособљени да разумеју, сагледају и протумаче дијахрони историјски ток специфичног, увек политички осетљивог региона Источног Медитерана, у коме се до данас преплићу нагомилани бројни историјски и културни слојеви, условљавајући његову јединственост и специфичну политичку осетљивост.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Садржај предмета</w:t>
            </w:r>
          </w:p>
          <w:p>
            <w:pPr>
              <w:pStyle w:val="Normal1"/>
              <w:keepNext w:val="false"/>
              <w:keepLines w:val="false"/>
              <w:widowControl/>
              <w:pBdr/>
              <w:shd w:val="clear" w:fill="auto"/>
              <w:spacing w:lineRule="auto" w:line="240" w:before="0" w:after="0"/>
              <w:ind w:left="0" w:right="0" w:hanging="72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1) Појам Источног Медитерана – географско одређење; 2) Источно Средоземље у рановизантијско доба; 3) Балкан у 6. веку; 4) Левант у 6. и 7. веку – борбе са Персијанцима и арапско освајање; 5) Локалне специфичности – пример Кипра 1; 6) Византија и Арабљани – сукобљавање на Источном Медитерану у 7-8. веку; 7) Из Дамаска у Багдад – повратак моћи Византије; 8) Долазак Турака Селџука и последице – Први Крсташки рат; 9) Доба Крсташких ратова, крај 11-13. век; 10) Локалне специфичности – пример Кипра 2; 11) Нова култура у Источном Средоземљу – мешавина Истока и Запада; 12) Пропаст Крсташких држава; 13) Повлачење хришћана Источни Медитеран у позном средњем веку; 14) Поново под једним господарем – превласт Османлија; 15) Културни и духовни значај региона Источног Средоземља.</w:t>
            </w:r>
          </w:p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/>
                <w:position w:val="0"/>
                <w:sz w:val="20"/>
                <w:vertAlign w:val="baseline"/>
              </w:rPr>
              <w:t>Практична настава:Вежбе, Други облици наставе, Студијски истраживачки рад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spacing w:lineRule="auto" w:line="240" w:before="0" w:after="150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 xml:space="preserve">Литература: </w:t>
            </w:r>
          </w:p>
          <w:p>
            <w:pPr>
              <w:pStyle w:val="Normal1"/>
              <w:spacing w:lineRule="auto" w:line="240" w:before="0" w:after="15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Г. Острогорски, </w:t>
            </w:r>
            <w:r>
              <w:rPr>
                <w:i/>
                <w:position w:val="0"/>
                <w:sz w:val="20"/>
                <w:vertAlign w:val="baseline"/>
              </w:rPr>
              <w:t>Историја Византије</w:t>
            </w:r>
            <w:r>
              <w:rPr>
                <w:position w:val="0"/>
                <w:sz w:val="20"/>
                <w:vertAlign w:val="baseline"/>
              </w:rPr>
              <w:t>, Београд (више издања)</w:t>
            </w:r>
          </w:p>
          <w:p>
            <w:pPr>
              <w:pStyle w:val="Normal1"/>
              <w:spacing w:lineRule="auto" w:line="240" w:before="0" w:after="150"/>
              <w:rPr>
                <w:position w:val="0"/>
                <w:sz w:val="20"/>
                <w:vertAlign w:val="baseline"/>
              </w:rPr>
            </w:pPr>
            <w:r>
              <w:rPr>
                <w:i/>
                <w:position w:val="0"/>
                <w:sz w:val="20"/>
                <w:vertAlign w:val="baseline"/>
              </w:rPr>
              <w:t>Оксфордска историја Византије</w:t>
            </w:r>
            <w:r>
              <w:rPr>
                <w:position w:val="0"/>
                <w:sz w:val="20"/>
                <w:vertAlign w:val="baseline"/>
              </w:rPr>
              <w:t>, С. Манго (уредник), Београд 2004.</w:t>
            </w:r>
          </w:p>
          <w:p>
            <w:pPr>
              <w:pStyle w:val="Normal1"/>
              <w:shd w:val="clear" w:fill="FFFFFF"/>
              <w:spacing w:lineRule="auto" w:line="312" w:before="0" w:after="15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K. Bek, </w:t>
            </w:r>
            <w:r>
              <w:rPr>
                <w:i/>
                <w:position w:val="0"/>
                <w:sz w:val="20"/>
                <w:vertAlign w:val="baseline"/>
              </w:rPr>
              <w:t>Istorija Venecije</w:t>
            </w:r>
            <w:r>
              <w:rPr>
                <w:position w:val="0"/>
                <w:sz w:val="20"/>
                <w:vertAlign w:val="baseline"/>
              </w:rPr>
              <w:t>, Beograd 1998, 7–63.</w:t>
            </w:r>
          </w:p>
          <w:p>
            <w:pPr>
              <w:pStyle w:val="Normal1"/>
              <w:widowControl/>
              <w:spacing w:lineRule="auto" w:line="36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i/>
                <w:position w:val="0"/>
                <w:sz w:val="20"/>
                <w:vertAlign w:val="baseline"/>
              </w:rPr>
              <w:t>Оксфордска историја средњовековне Европе</w:t>
            </w:r>
            <w:r>
              <w:rPr>
                <w:position w:val="0"/>
                <w:sz w:val="20"/>
                <w:vertAlign w:val="baseline"/>
              </w:rPr>
              <w:t xml:space="preserve"> (прир. Џ. Холмс), Београд 1997,11–67, 171–274.</w:t>
            </w:r>
          </w:p>
        </w:tc>
      </w:tr>
      <w:tr>
        <w:trPr/>
        <w:tc>
          <w:tcPr>
            <w:tcW w:w="82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Број часова  активне наставе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Остали часови</w:t>
            </w:r>
          </w:p>
        </w:tc>
      </w:tr>
      <w:tr>
        <w:trPr/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Предавања:</w:t>
            </w:r>
          </w:p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Вежбе:</w:t>
            </w:r>
          </w:p>
          <w:p>
            <w:pPr>
              <w:pStyle w:val="Normal1"/>
              <w:rPr/>
            </w:pPr>
            <w:r>
              <w:rPr>
                <w:position w:val="0"/>
                <w:sz w:val="20"/>
                <w:vertAlign w:val="baseline"/>
              </w:rPr>
              <w:t>2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Други облици наставе: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Студијски истраживачки рад:</w:t>
            </w:r>
          </w:p>
        </w:tc>
        <w:tc>
          <w:tcPr>
            <w:tcW w:w="161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 xml:space="preserve">Методе извођења наставе </w:t>
            </w:r>
            <w:r>
              <w:rPr>
                <w:position w:val="0"/>
                <w:sz w:val="20"/>
                <w:vertAlign w:val="baseline"/>
              </w:rPr>
              <w:t>анаалитичка, компаративна, синтетичка</w:t>
            </w:r>
          </w:p>
        </w:tc>
      </w:tr>
      <w:tr>
        <w:trPr/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Оцена  знања (максимални број поена 100)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 w:val="false"/>
                <w:b w:val="false"/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0"/>
                <w:vertAlign w:val="baseline"/>
              </w:rPr>
              <w:t>поена</w:t>
            </w:r>
          </w:p>
        </w:tc>
        <w:tc>
          <w:tcPr>
            <w:tcW w:w="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Завршни испит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/>
                <w:position w:val="0"/>
                <w:sz w:val="20"/>
                <w:vertAlign w:val="baseline"/>
              </w:rPr>
              <w:t>поена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писмени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усмени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60</w:t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40</w:t>
            </w:r>
          </w:p>
        </w:tc>
        <w:tc>
          <w:tcPr>
            <w:tcW w:w="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/>
                <w:position w:val="0"/>
                <w:sz w:val="20"/>
                <w:vertAlign w:val="baseline"/>
              </w:rPr>
              <w:t>..........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3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 w:val="false"/>
                <w:position w:val="0"/>
                <w:sz w:val="20"/>
                <w:vertAlign w:val="baseline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 w:val="false"/>
                <w:i w:val="false"/>
                <w:position w:val="0"/>
                <w:sz w:val="20"/>
                <w:vertAlign w:val="baseline"/>
              </w:rPr>
            </w:pPr>
            <w:r>
              <w:rPr>
                <w:i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rPr>
          <w:position w:val="0"/>
          <w:sz w:val="16"/>
          <w:sz w:val="16"/>
          <w:szCs w:val="16"/>
          <w:vertAlign w:val="baseline"/>
        </w:rPr>
      </w:pPr>
      <w:r>
        <w:rPr>
          <w:position w:val="0"/>
          <w:sz w:val="16"/>
          <w:sz w:val="16"/>
          <w:szCs w:val="16"/>
          <w:vertAlign w:val="baseline"/>
        </w:rPr>
      </w:r>
    </w:p>
    <w:p>
      <w:pPr>
        <w:pStyle w:val="Normal1"/>
        <w:rPr>
          <w:position w:val="0"/>
          <w:sz w:val="16"/>
          <w:sz w:val="16"/>
          <w:szCs w:val="16"/>
          <w:vertAlign w:val="baseline"/>
        </w:rPr>
      </w:pPr>
      <w:r>
        <w:rPr>
          <w:position w:val="0"/>
          <w:sz w:val="16"/>
          <w:sz w:val="16"/>
          <w:szCs w:val="16"/>
          <w:vertAlign w:val="baseline"/>
        </w:rPr>
      </w:r>
    </w:p>
    <w:p>
      <w:pPr>
        <w:pStyle w:val="Normal1"/>
        <w:rPr>
          <w:position w:val="0"/>
          <w:sz w:val="20"/>
          <w:vertAlign w:val="baseline"/>
        </w:rPr>
      </w:pPr>
      <w:r>
        <w:rPr>
          <w:position w:val="0"/>
          <w:sz w:val="20"/>
          <w:vertAlign w:val="baseline"/>
        </w:rPr>
      </w:r>
    </w:p>
    <w:p>
      <w:pPr>
        <w:pStyle w:val="Normal1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51" w:header="113" w:top="1134" w:footer="170" w:bottom="1134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>www.filfak.ni.ac.rs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 xml:space="preserve">         </w:t>
    </w:r>
  </w:p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 xml:space="preserve">         </w:t>
    </w:r>
  </w:p>
  <w:tbl>
    <w:tblPr>
      <w:tblStyle w:val="Table2"/>
      <w:tblW w:w="9658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14"/>
      <w:gridCol w:w="6594"/>
      <w:gridCol w:w="1550"/>
    </w:tblGrid>
    <w:tr>
      <w:trPr>
        <w:trHeight w:val="360" w:hRule="atLeast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tabs>
              <w:tab w:val="clear" w:pos="720"/>
              <w:tab w:val="center" w:pos="4320" w:leader="none"/>
              <w:tab w:val="right" w:pos="8640" w:leader="none"/>
            </w:tabs>
            <w:spacing w:lineRule="auto" w:line="240" w:before="0" w:after="0"/>
            <w:ind w:left="0" w:right="0" w:hanging="0"/>
            <w:jc w:val="lef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FFFFFF" w:val="clear"/>
          <w:vAlign w:val="cente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tabs>
              <w:tab w:val="clear" w:pos="720"/>
              <w:tab w:val="center" w:pos="4320" w:leader="none"/>
              <w:tab w:val="right" w:pos="8640" w:leader="none"/>
            </w:tabs>
            <w:spacing w:lineRule="auto" w:line="240" w:before="0" w:after="0"/>
            <w:ind w:left="0" w:right="0" w:hanging="0"/>
            <w:jc w:val="center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20"/>
              <w:sz w:val="18"/>
              <w:szCs w:val="18"/>
              <w:u w:val="non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t>Универзитет у Нишу, Филозофски 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tabs>
              <w:tab w:val="clear" w:pos="720"/>
              <w:tab w:val="center" w:pos="4320" w:leader="none"/>
              <w:tab w:val="right" w:pos="8640" w:leader="none"/>
            </w:tabs>
            <w:spacing w:lineRule="auto" w:line="240" w:before="0" w:after="0"/>
            <w:ind w:left="0" w:right="0" w:hanging="0"/>
            <w:jc w:val="righ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460" w:hRule="atLeast"/>
      </w:trPr>
      <w:tc>
        <w:tcPr>
          <w:tcW w:w="151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spacing w:lineRule="auto" w:line="276" w:before="0" w:after="0"/>
            <w:ind w:left="0" w:right="0" w:hanging="0"/>
            <w:jc w:val="lef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E6E6E6" w:val="clear"/>
          <w:vAlign w:val="cente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tabs>
              <w:tab w:val="clear" w:pos="720"/>
              <w:tab w:val="center" w:pos="4320" w:leader="none"/>
              <w:tab w:val="right" w:pos="8640" w:leader="none"/>
            </w:tabs>
            <w:spacing w:lineRule="auto" w:line="240" w:before="0" w:after="0"/>
            <w:ind w:left="0" w:right="0" w:hanging="0"/>
            <w:jc w:val="center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none"/>
              <w:vertAlign w:val="baseline"/>
              <w:lang w:val="sr-RS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  <w:lang w:val="sr-RS"/>
            </w:rPr>
            <w:t>Акредитација студијског програма</w:t>
          </w:r>
        </w:p>
      </w:tc>
      <w:tc>
        <w:tcPr>
          <w:tcW w:w="1550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spacing w:lineRule="auto" w:line="276" w:before="0" w:after="0"/>
            <w:ind w:left="0" w:right="0" w:hanging="0"/>
            <w:jc w:val="lef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singl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single"/>
              <w:shd w:fill="auto" w:val="clear"/>
              <w:vertAlign w:val="baseline"/>
            </w:rPr>
          </w:r>
        </w:p>
      </w:tc>
    </w:tr>
    <w:tr>
      <w:trPr>
        <w:trHeight w:val="340" w:hRule="atLeast"/>
      </w:trPr>
      <w:tc>
        <w:tcPr>
          <w:tcW w:w="151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spacing w:lineRule="auto" w:line="276" w:before="0" w:after="0"/>
            <w:ind w:left="0" w:right="0" w:hanging="0"/>
            <w:jc w:val="lef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singl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333399"/>
              <w:position w:val="0"/>
              <w:sz w:val="18"/>
              <w:sz w:val="18"/>
              <w:szCs w:val="18"/>
              <w:u w:val="single"/>
              <w:shd w:fill="auto" w:val="clear"/>
              <w:vertAlign w:val="baseline"/>
            </w:rPr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FFFFFF" w:val="clear"/>
          <w:vAlign w:val="cente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tabs>
              <w:tab w:val="clear" w:pos="720"/>
              <w:tab w:val="center" w:pos="4320" w:leader="none"/>
              <w:tab w:val="right" w:pos="8640" w:leader="none"/>
            </w:tabs>
            <w:spacing w:lineRule="auto" w:line="240" w:before="0" w:after="0"/>
            <w:ind w:left="0" w:right="0" w:hanging="0"/>
            <w:jc w:val="center"/>
            <w:rPr>
              <w:rFonts w:ascii="Times New Roman" w:hAnsi="Times New Roman" w:eastAsia="Times New Roman" w:cs="Times New Roman"/>
              <w:b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  <w:lang w:val="sr-RS"/>
            </w:rPr>
          </w:pPr>
          <w:r>
            <w:rPr>
              <w:rFonts w:eastAsia="Times New Roman" w:cs="Times New Roman" w:ascii="Times New Roman" w:hAnsi="Times New Roman"/>
              <w:b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  <w:lang w:val="sr-RS"/>
            </w:rPr>
            <w:t>Мастер академске студије историје</w:t>
          </w:r>
        </w:p>
      </w:tc>
      <w:tc>
        <w:tcPr>
          <w:tcW w:w="1550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fill="auto" w:val="clear"/>
        </w:tcPr>
        <w:p>
          <w:pPr>
            <w:pStyle w:val="Normal1"/>
            <w:keepNext w:val="false"/>
            <w:keepLines w:val="false"/>
            <w:widowControl w:val="false"/>
            <w:pBdr/>
            <w:shd w:val="clear" w:fill="auto"/>
            <w:spacing w:lineRule="auto" w:line="276" w:before="0" w:after="0"/>
            <w:ind w:left="0" w:right="0" w:hanging="0"/>
            <w:jc w:val="left"/>
            <w:rPr>
              <w:rFonts w:ascii="Times New Roman" w:hAnsi="Times New Roman" w:eastAsia="Times New Roman" w:cs="Times New Roman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vertAlign w:val="baseline"/>
            </w:rPr>
          </w:pPr>
          <w:r>
            <w:rPr>
              <w:rFonts w:eastAsia="Times New Roman" w:cs="Times New Roman" w:ascii="Times New Roman" w:hAnsi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18"/>
              <w:sz w:val="18"/>
              <w:szCs w:val="18"/>
              <w:u w:val="none"/>
              <w:shd w:fill="auto" w:val="clear"/>
              <w:vertAlign w:val="baseline"/>
            </w:rPr>
          </w:r>
        </w:p>
      </w:tc>
    </w:tr>
  </w:tbl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18"/>
        <w:szCs w:val="18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auto" w:val="clear"/>
        <w:vertAlign w:val="baseline"/>
      </w:rPr>
      <w:t xml:space="preserve">          </w:t>
    </w:r>
  </w:p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320" w:leader="none"/>
        <w:tab w:val="right" w:pos="8640" w:leader="none"/>
      </w:tabs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lang w:val="sr-Lat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sr-Latn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sr-Latn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LibreOffice/6.3.1.2$Windows_X86_64 LibreOffice_project/b79626edf0065ac373bd1df5c28bd630b4424273</Application>
  <Pages>1</Pages>
  <Words>338</Words>
  <Characters>2186</Characters>
  <CharactersWithSpaces>2520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sr-Latn-RS</dc:language>
  <cp:lastModifiedBy/>
  <dcterms:modified xsi:type="dcterms:W3CDTF">2020-10-01T14:27:15Z</dcterms:modified>
  <cp:revision>2</cp:revision>
  <dc:subject/>
  <dc:title/>
</cp:coreProperties>
</file>