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815"/>
        <w:gridCol w:w="311"/>
        <w:gridCol w:w="497"/>
        <w:gridCol w:w="143"/>
        <w:gridCol w:w="1130"/>
        <w:gridCol w:w="921"/>
        <w:gridCol w:w="319"/>
        <w:gridCol w:w="84"/>
        <w:gridCol w:w="1141"/>
        <w:gridCol w:w="467"/>
        <w:gridCol w:w="164"/>
        <w:gridCol w:w="1491"/>
        <w:gridCol w:w="501"/>
        <w:gridCol w:w="1994"/>
      </w:tblGrid>
      <w:tr w:rsidR="00621C2A" w:rsidRPr="00491993" w14:paraId="1DFB0B86" w14:textId="77777777" w:rsidTr="00EB0086">
        <w:trPr>
          <w:trHeight w:val="427"/>
        </w:trPr>
        <w:tc>
          <w:tcPr>
            <w:tcW w:w="4954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42" w:type="dxa"/>
            <w:gridSpan w:val="7"/>
            <w:vAlign w:val="center"/>
          </w:tcPr>
          <w:p w14:paraId="098DBF92" w14:textId="47ADEFA0" w:rsidR="00621C2A" w:rsidRPr="00CF673F" w:rsidRDefault="00CF673F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Љиљана Јанковић</w:t>
            </w:r>
          </w:p>
        </w:tc>
      </w:tr>
      <w:tr w:rsidR="00621C2A" w:rsidRPr="00491993" w14:paraId="1FD6D752" w14:textId="77777777" w:rsidTr="00EB0086">
        <w:trPr>
          <w:trHeight w:val="427"/>
        </w:trPr>
        <w:tc>
          <w:tcPr>
            <w:tcW w:w="4954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42" w:type="dxa"/>
            <w:gridSpan w:val="7"/>
            <w:vAlign w:val="center"/>
          </w:tcPr>
          <w:p w14:paraId="6B89C852" w14:textId="50DF0DB4" w:rsidR="00621C2A" w:rsidRPr="00491993" w:rsidRDefault="00D620C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="00700B24">
              <w:rPr>
                <w:lang w:val="sr-Cyrl-CS"/>
              </w:rPr>
              <w:t>о</w:t>
            </w:r>
            <w:r w:rsidR="00CF673F">
              <w:rPr>
                <w:lang w:val="sr-Cyrl-CS"/>
              </w:rPr>
              <w:t>цент</w:t>
            </w:r>
          </w:p>
        </w:tc>
      </w:tr>
      <w:tr w:rsidR="00621C2A" w:rsidRPr="00491993" w14:paraId="16EF4745" w14:textId="77777777" w:rsidTr="00EB0086">
        <w:trPr>
          <w:trHeight w:val="427"/>
        </w:trPr>
        <w:tc>
          <w:tcPr>
            <w:tcW w:w="4954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42" w:type="dxa"/>
            <w:gridSpan w:val="7"/>
            <w:vAlign w:val="center"/>
          </w:tcPr>
          <w:p w14:paraId="2EDAB219" w14:textId="3C132F25" w:rsidR="00621C2A" w:rsidRPr="00491993" w:rsidRDefault="00D620C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Универзитета у Нишу</w:t>
            </w:r>
          </w:p>
        </w:tc>
      </w:tr>
      <w:tr w:rsidR="00621C2A" w:rsidRPr="00491993" w14:paraId="2CF0160C" w14:textId="77777777" w:rsidTr="00EB0086">
        <w:trPr>
          <w:trHeight w:val="427"/>
        </w:trPr>
        <w:tc>
          <w:tcPr>
            <w:tcW w:w="4954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42" w:type="dxa"/>
            <w:gridSpan w:val="7"/>
            <w:vAlign w:val="center"/>
          </w:tcPr>
          <w:p w14:paraId="022051D5" w14:textId="5F63E5FD" w:rsidR="00621C2A" w:rsidRPr="00491993" w:rsidRDefault="00D620C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Англистичка лингвистика</w:t>
            </w:r>
          </w:p>
        </w:tc>
      </w:tr>
      <w:tr w:rsidR="00621C2A" w:rsidRPr="00491993" w14:paraId="0BDBE2F6" w14:textId="77777777" w:rsidTr="00EB0086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30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621C2A" w:rsidRPr="00491993" w14:paraId="0020BE62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609826A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30" w:type="dxa"/>
            <w:vAlign w:val="center"/>
          </w:tcPr>
          <w:p w14:paraId="480FE56E" w14:textId="1F2BA23C" w:rsidR="00621C2A" w:rsidRPr="00491993" w:rsidRDefault="00D620C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2020.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24E1841B" w14:textId="3FFF235C" w:rsidR="00621C2A" w:rsidRPr="00491993" w:rsidRDefault="00D620C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</w:t>
            </w:r>
            <w:r w:rsidR="007D7F72">
              <w:rPr>
                <w:lang w:val="sr-Cyrl-CS"/>
              </w:rPr>
              <w:t>, Ниш</w:t>
            </w: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14:paraId="7A95BCCC" w14:textId="7A93667E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Хуманистичке науке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5D78D8C4" w14:textId="5A1348C5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Англистичка лингвистика</w:t>
            </w:r>
          </w:p>
        </w:tc>
      </w:tr>
      <w:tr w:rsidR="00621C2A" w:rsidRPr="00491993" w14:paraId="0A2C4B86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03346DA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30" w:type="dxa"/>
            <w:vAlign w:val="center"/>
          </w:tcPr>
          <w:p w14:paraId="0D5F4E0E" w14:textId="0745F4A7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2017.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1C421B49" w14:textId="58859961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Ниш</w:t>
            </w: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14:paraId="2F1D798E" w14:textId="6364E30B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Хуманистичке науке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8CCF6FF" w14:textId="7A29DB3A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Англистичка лингвистика</w:t>
            </w:r>
          </w:p>
        </w:tc>
      </w:tr>
      <w:tr w:rsidR="00621C2A" w:rsidRPr="00491993" w14:paraId="59A4F235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605A1C5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Специјализација</w:t>
            </w:r>
          </w:p>
        </w:tc>
        <w:tc>
          <w:tcPr>
            <w:tcW w:w="1130" w:type="dxa"/>
            <w:vAlign w:val="center"/>
          </w:tcPr>
          <w:p w14:paraId="7BFD66A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43588D6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14:paraId="3736909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43561D0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70D4F671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27ECB27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30" w:type="dxa"/>
            <w:vAlign w:val="center"/>
          </w:tcPr>
          <w:p w14:paraId="3E878FEB" w14:textId="27F93A2C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2000.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71A8FA8B" w14:textId="018110FF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Ниш</w:t>
            </w: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14:paraId="7AA08DF8" w14:textId="306716D5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Хуманистичке науке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7C735D73" w14:textId="32CC4BAA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Англистичка лингвистика</w:t>
            </w:r>
          </w:p>
        </w:tc>
      </w:tr>
      <w:tr w:rsidR="00621C2A" w:rsidRPr="00491993" w14:paraId="6860F111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34FF3C05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30" w:type="dxa"/>
            <w:vAlign w:val="center"/>
          </w:tcPr>
          <w:p w14:paraId="3EAE661B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438FEEED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14:paraId="03CDE12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C42591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7B9D8AC7" w14:textId="77777777" w:rsidTr="00EB0086">
        <w:trPr>
          <w:trHeight w:val="427"/>
        </w:trPr>
        <w:tc>
          <w:tcPr>
            <w:tcW w:w="2584" w:type="dxa"/>
            <w:gridSpan w:val="5"/>
            <w:vAlign w:val="center"/>
          </w:tcPr>
          <w:p w14:paraId="6A0D02F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30" w:type="dxa"/>
            <w:vAlign w:val="center"/>
          </w:tcPr>
          <w:p w14:paraId="1037F695" w14:textId="386A1D3C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1986.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 w14:paraId="4DFB69BA" w14:textId="12967602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факултет, Ниш</w:t>
            </w:r>
          </w:p>
        </w:tc>
        <w:tc>
          <w:tcPr>
            <w:tcW w:w="2122" w:type="dxa"/>
            <w:gridSpan w:val="3"/>
            <w:shd w:val="clear" w:color="auto" w:fill="auto"/>
            <w:vAlign w:val="center"/>
          </w:tcPr>
          <w:p w14:paraId="4113D5DE" w14:textId="3139F8F4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Хуманистичке науке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31008290" w14:textId="516E5521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Енглески језик и књижевност</w:t>
            </w:r>
          </w:p>
        </w:tc>
      </w:tr>
      <w:tr w:rsidR="00621C2A" w:rsidRPr="00491993" w14:paraId="26093982" w14:textId="77777777" w:rsidTr="00EB0086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621C2A" w:rsidRPr="00491993" w14:paraId="1C78193A" w14:textId="77777777" w:rsidTr="00EB0086">
        <w:trPr>
          <w:trHeight w:val="822"/>
        </w:trPr>
        <w:tc>
          <w:tcPr>
            <w:tcW w:w="818" w:type="dxa"/>
            <w:shd w:val="clear" w:color="auto" w:fill="auto"/>
            <w:vAlign w:val="center"/>
          </w:tcPr>
          <w:p w14:paraId="4AEFEC9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715172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094" w:type="dxa"/>
            <w:gridSpan w:val="6"/>
            <w:shd w:val="clear" w:color="auto" w:fill="auto"/>
            <w:vAlign w:val="center"/>
          </w:tcPr>
          <w:p w14:paraId="5C96963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180EBDA4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088DEC63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47B241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621C2A" w:rsidRPr="00491993" w14:paraId="3DFCB838" w14:textId="77777777" w:rsidTr="00EB0086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466C81F0" w14:textId="63E215CA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4BC1B30C" w14:textId="7EB2A0A4" w:rsidR="00621C2A" w:rsidRPr="0073018E" w:rsidRDefault="0073018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OAN046</w:t>
            </w:r>
          </w:p>
        </w:tc>
        <w:tc>
          <w:tcPr>
            <w:tcW w:w="3094" w:type="dxa"/>
            <w:gridSpan w:val="6"/>
            <w:shd w:val="clear" w:color="auto" w:fill="auto"/>
            <w:vAlign w:val="center"/>
          </w:tcPr>
          <w:p w14:paraId="60FEAB8C" w14:textId="5C1390EF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Савремени енглески језик 7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2508120C" w14:textId="1BDE6EC8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предавања, вежбе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41A91753" w14:textId="2E7A7778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Англистика 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EF09124" w14:textId="30C4F17C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44BCF7BE" w14:textId="77777777" w:rsidTr="00EB0086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3340148" w14:textId="7D479DBD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1D21DED5" w14:textId="436698A9" w:rsidR="00621C2A" w:rsidRPr="0073018E" w:rsidRDefault="0073018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OAN056</w:t>
            </w:r>
          </w:p>
        </w:tc>
        <w:tc>
          <w:tcPr>
            <w:tcW w:w="3094" w:type="dxa"/>
            <w:gridSpan w:val="6"/>
            <w:shd w:val="clear" w:color="auto" w:fill="auto"/>
            <w:vAlign w:val="center"/>
          </w:tcPr>
          <w:p w14:paraId="376E4348" w14:textId="2DFCBC7B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Савремени енглески језик 8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1C17F9F3" w14:textId="4C96A9F7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вежбе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5EDC9C1E" w14:textId="3327F0E4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Англистика 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05E179E" w14:textId="18DF354E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51526C57" w14:textId="77777777" w:rsidTr="00EB0086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0790AB8" w14:textId="4EEDA9DC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5E9CEE63" w14:textId="1FE9B203" w:rsidR="00621C2A" w:rsidRPr="0073018E" w:rsidRDefault="0073018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Cyrl-CS"/>
              </w:rPr>
              <w:t>ОА</w:t>
            </w:r>
            <w:r>
              <w:rPr>
                <w:lang w:val="sr-Latn-RS"/>
              </w:rPr>
              <w:t>N034</w:t>
            </w:r>
          </w:p>
        </w:tc>
        <w:tc>
          <w:tcPr>
            <w:tcW w:w="3094" w:type="dxa"/>
            <w:gridSpan w:val="6"/>
            <w:shd w:val="clear" w:color="auto" w:fill="auto"/>
            <w:vAlign w:val="center"/>
          </w:tcPr>
          <w:p w14:paraId="457238FC" w14:textId="49106A48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Морфосинтакса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4A010066" w14:textId="5AAF0E69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237935A1" w14:textId="5B3DF0B8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Англистика 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C0B1C87" w14:textId="700ADA2F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154DC581" w14:textId="77777777" w:rsidTr="00EB0086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21324D6" w14:textId="0CBABBA5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137920C7" w14:textId="15CF1A20" w:rsidR="00621C2A" w:rsidRPr="0073018E" w:rsidRDefault="0073018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OAN051</w:t>
            </w:r>
          </w:p>
        </w:tc>
        <w:tc>
          <w:tcPr>
            <w:tcW w:w="3094" w:type="dxa"/>
            <w:gridSpan w:val="6"/>
            <w:shd w:val="clear" w:color="auto" w:fill="auto"/>
            <w:vAlign w:val="center"/>
          </w:tcPr>
          <w:p w14:paraId="28EB2F83" w14:textId="52B443A3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Језички огледи: превођење са енглеског на српски језик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618A776D" w14:textId="114BA16B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18146B57" w14:textId="486C78E1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Англистика 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2669ACE" w14:textId="76E2808F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14666312" w14:textId="77777777" w:rsidTr="00EB0086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39E9238" w14:textId="213093C4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555C5C90" w14:textId="75711203" w:rsidR="00621C2A" w:rsidRPr="0073018E" w:rsidRDefault="0073018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MAN015</w:t>
            </w:r>
          </w:p>
        </w:tc>
        <w:tc>
          <w:tcPr>
            <w:tcW w:w="3094" w:type="dxa"/>
            <w:gridSpan w:val="6"/>
            <w:shd w:val="clear" w:color="auto" w:fill="auto"/>
            <w:vAlign w:val="center"/>
          </w:tcPr>
          <w:p w14:paraId="5357E192" w14:textId="3B483757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Превођење некњижевних текстова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6D756F09" w14:textId="713C3533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вежбе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4D3193AC" w14:textId="3E785EDA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Англистика и </w:t>
            </w:r>
            <w:r w:rsidR="00700B24">
              <w:rPr>
                <w:lang w:val="sr-Cyrl-CS"/>
              </w:rPr>
              <w:t>П</w:t>
            </w:r>
            <w:r>
              <w:rPr>
                <w:lang w:val="sr-Cyrl-CS"/>
              </w:rPr>
              <w:t>ревођења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1FAFA71" w14:textId="15DAD2CB" w:rsidR="00621C2A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7D7F72" w:rsidRPr="00491993" w14:paraId="35562962" w14:textId="77777777" w:rsidTr="00EB0086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733F055A" w14:textId="46DEA299" w:rsidR="007D7F72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53BD5371" w14:textId="5DE57EF5" w:rsidR="007D7F72" w:rsidRPr="0073018E" w:rsidRDefault="0073018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DSF001</w:t>
            </w:r>
          </w:p>
        </w:tc>
        <w:tc>
          <w:tcPr>
            <w:tcW w:w="3094" w:type="dxa"/>
            <w:gridSpan w:val="6"/>
            <w:shd w:val="clear" w:color="auto" w:fill="auto"/>
            <w:vAlign w:val="center"/>
          </w:tcPr>
          <w:p w14:paraId="2136F8BC" w14:textId="5DE060BE" w:rsidR="007D7F72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Преглед лингвистичких теорија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54F1003D" w14:textId="6457FBEB" w:rsidR="007D7F72" w:rsidRPr="00491993" w:rsidRDefault="007D7F7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3CA309FD" w14:textId="4C2DFCA7" w:rsidR="007D7F72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Стране филологије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5C302FB" w14:textId="16FAFA22" w:rsidR="007D7F72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ДАС</w:t>
            </w:r>
          </w:p>
        </w:tc>
      </w:tr>
      <w:tr w:rsidR="007D7F72" w:rsidRPr="00491993" w14:paraId="13491C66" w14:textId="77777777" w:rsidTr="00EB0086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3E426BD" w14:textId="6FB087D5" w:rsidR="007D7F72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42AF19D2" w14:textId="43E23A68" w:rsidR="007D7F72" w:rsidRPr="0073018E" w:rsidRDefault="0073018E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DSF042</w:t>
            </w:r>
          </w:p>
        </w:tc>
        <w:tc>
          <w:tcPr>
            <w:tcW w:w="3094" w:type="dxa"/>
            <w:gridSpan w:val="6"/>
            <w:shd w:val="clear" w:color="auto" w:fill="auto"/>
            <w:vAlign w:val="center"/>
          </w:tcPr>
          <w:p w14:paraId="527E5C1D" w14:textId="5DB4335C" w:rsidR="007D7F72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Контрастивна граматика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54A0A1AC" w14:textId="7B84E3A5" w:rsidR="007D7F72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316714DC" w14:textId="2C929F4E" w:rsidR="007D7F72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Стране филологије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A97F970" w14:textId="0D82529C" w:rsidR="007D7F72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ДАС</w:t>
            </w:r>
          </w:p>
        </w:tc>
      </w:tr>
      <w:tr w:rsidR="00621C2A" w:rsidRPr="00491993" w14:paraId="33F06C59" w14:textId="77777777" w:rsidTr="00EB0086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21C2A" w:rsidRPr="00491993" w14:paraId="07FC430A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2979734A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shd w:val="clear" w:color="auto" w:fill="auto"/>
            <w:vAlign w:val="center"/>
          </w:tcPr>
          <w:p w14:paraId="6384DCE2" w14:textId="17B2C88B" w:rsidR="00621C2A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F4070">
              <w:rPr>
                <w:lang w:val="sr-Cyrl-CS"/>
              </w:rPr>
              <w:t xml:space="preserve">2024. </w:t>
            </w:r>
            <w:r w:rsidRPr="009F4070">
              <w:rPr>
                <w:i/>
                <w:iCs/>
                <w:lang w:val="sr-Cyrl-CS"/>
              </w:rPr>
              <w:t>Контрастивна анализа клауза у српском и енглеском језику</w:t>
            </w:r>
            <w:r>
              <w:rPr>
                <w:lang w:val="sr-Cyrl-CS"/>
              </w:rPr>
              <w:t xml:space="preserve">. Филозофски факултет, Ниш </w:t>
            </w:r>
          </w:p>
          <w:p w14:paraId="2846A750" w14:textId="5AB1F471" w:rsidR="009F4070" w:rsidRPr="009F4070" w:rsidRDefault="009F4070" w:rsidP="009F4070">
            <w:pPr>
              <w:rPr>
                <w:lang w:val="sr-Cyrl-RS"/>
              </w:rPr>
            </w:pPr>
            <w:hyperlink r:id="rId7" w:history="1">
              <w:r w:rsidRPr="0045227E">
                <w:rPr>
                  <w:rStyle w:val="Hyperlink"/>
                  <w:rFonts w:cs="Open Sans"/>
                  <w:lang w:val="de-DE"/>
                </w:rPr>
                <w:t>https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://</w:t>
              </w:r>
              <w:r w:rsidRPr="0045227E">
                <w:rPr>
                  <w:rStyle w:val="Hyperlink"/>
                  <w:rFonts w:cs="Open Sans"/>
                  <w:lang w:val="de-DE"/>
                </w:rPr>
                <w:t>izdanja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.</w:t>
              </w:r>
              <w:r w:rsidRPr="0045227E">
                <w:rPr>
                  <w:rStyle w:val="Hyperlink"/>
                  <w:rFonts w:cs="Open Sans"/>
                  <w:lang w:val="de-DE"/>
                </w:rPr>
                <w:t>filfak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.</w:t>
              </w:r>
              <w:r w:rsidRPr="0045227E">
                <w:rPr>
                  <w:rStyle w:val="Hyperlink"/>
                  <w:rFonts w:cs="Open Sans"/>
                  <w:lang w:val="de-DE"/>
                </w:rPr>
                <w:t>ni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.</w:t>
              </w:r>
              <w:r w:rsidRPr="0045227E">
                <w:rPr>
                  <w:rStyle w:val="Hyperlink"/>
                  <w:rFonts w:cs="Open Sans"/>
                  <w:lang w:val="de-DE"/>
                </w:rPr>
                <w:t>ac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.</w:t>
              </w:r>
              <w:r w:rsidRPr="0045227E">
                <w:rPr>
                  <w:rStyle w:val="Hyperlink"/>
                  <w:rFonts w:cs="Open Sans"/>
                  <w:lang w:val="de-DE"/>
                </w:rPr>
                <w:t>rs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/</w:t>
              </w:r>
              <w:r w:rsidRPr="0045227E">
                <w:rPr>
                  <w:rStyle w:val="Hyperlink"/>
                  <w:rFonts w:cs="Open Sans"/>
                  <w:lang w:val="de-DE"/>
                </w:rPr>
                <w:t>monografije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/2024/</w:t>
              </w:r>
              <w:r w:rsidRPr="0045227E">
                <w:rPr>
                  <w:rStyle w:val="Hyperlink"/>
                  <w:rFonts w:cs="Open Sans"/>
                  <w:lang w:val="de-DE"/>
                </w:rPr>
                <w:t>kontrastivna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-</w:t>
              </w:r>
              <w:r w:rsidRPr="0045227E">
                <w:rPr>
                  <w:rStyle w:val="Hyperlink"/>
                  <w:rFonts w:cs="Open Sans"/>
                  <w:lang w:val="de-DE"/>
                </w:rPr>
                <w:t>analiza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-</w:t>
              </w:r>
              <w:r w:rsidRPr="0045227E">
                <w:rPr>
                  <w:rStyle w:val="Hyperlink"/>
                  <w:rFonts w:cs="Open Sans"/>
                  <w:lang w:val="de-DE"/>
                </w:rPr>
                <w:t>klauza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-</w:t>
              </w:r>
              <w:r w:rsidRPr="0045227E">
                <w:rPr>
                  <w:rStyle w:val="Hyperlink"/>
                  <w:rFonts w:cs="Open Sans"/>
                  <w:lang w:val="de-DE"/>
                </w:rPr>
                <w:t>u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-</w:t>
              </w:r>
              <w:r w:rsidRPr="0045227E">
                <w:rPr>
                  <w:rStyle w:val="Hyperlink"/>
                  <w:rFonts w:cs="Open Sans"/>
                  <w:lang w:val="de-DE"/>
                </w:rPr>
                <w:t>srpskom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-</w:t>
              </w:r>
              <w:r w:rsidRPr="0045227E">
                <w:rPr>
                  <w:rStyle w:val="Hyperlink"/>
                  <w:rFonts w:cs="Open Sans"/>
                  <w:lang w:val="de-DE"/>
                </w:rPr>
                <w:t>i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-</w:t>
              </w:r>
              <w:r w:rsidRPr="0045227E">
                <w:rPr>
                  <w:rStyle w:val="Hyperlink"/>
                  <w:rFonts w:cs="Open Sans"/>
                  <w:lang w:val="de-DE"/>
                </w:rPr>
                <w:t>engleskom</w:t>
              </w:r>
              <w:r w:rsidRPr="009F4070">
                <w:rPr>
                  <w:rStyle w:val="Hyperlink"/>
                  <w:rFonts w:cs="Open Sans"/>
                  <w:lang w:val="sr-Cyrl-CS"/>
                </w:rPr>
                <w:t>-</w:t>
              </w:r>
              <w:r w:rsidRPr="0045227E">
                <w:rPr>
                  <w:rStyle w:val="Hyperlink"/>
                  <w:rFonts w:cs="Open Sans"/>
                  <w:lang w:val="de-DE"/>
                </w:rPr>
                <w:t>jeziku</w:t>
              </w:r>
            </w:hyperlink>
          </w:p>
          <w:p w14:paraId="3348B95F" w14:textId="250998DF" w:rsidR="009F4070" w:rsidRPr="009F4070" w:rsidRDefault="009F4070" w:rsidP="009F4070">
            <w:pPr>
              <w:rPr>
                <w:color w:val="222222"/>
                <w:shd w:val="clear" w:color="auto" w:fill="F1F8F8"/>
                <w:lang w:val="sr-Cyrl-RS"/>
              </w:rPr>
            </w:pPr>
            <w:hyperlink r:id="rId8" w:history="1">
              <w:r w:rsidRPr="009F4070">
                <w:rPr>
                  <w:rStyle w:val="Hyperlink"/>
                  <w:shd w:val="clear" w:color="auto" w:fill="F1F8F8"/>
                </w:rPr>
                <w:t>https://doi.org/10.46630/kak.2024</w:t>
              </w:r>
            </w:hyperlink>
          </w:p>
        </w:tc>
      </w:tr>
      <w:tr w:rsidR="00621C2A" w:rsidRPr="00491993" w14:paraId="7E103DFF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73A47BB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shd w:val="clear" w:color="auto" w:fill="auto"/>
            <w:vAlign w:val="center"/>
          </w:tcPr>
          <w:p w14:paraId="1A4DEFE8" w14:textId="1F350E45" w:rsidR="009F4070" w:rsidRDefault="009F4070" w:rsidP="009F4070">
            <w:pPr>
              <w:rPr>
                <w:rFonts w:cs="Open Sans"/>
                <w:lang w:val="sr-Latn-RS"/>
              </w:rPr>
            </w:pPr>
            <w:r w:rsidRPr="00EC0609">
              <w:rPr>
                <w:rFonts w:cs="Open Sans"/>
                <w:lang w:val="sr-Latn-RS"/>
              </w:rPr>
              <w:t xml:space="preserve">2024. Janković, Lj. </w:t>
            </w:r>
            <w:r>
              <w:rPr>
                <w:rFonts w:cs="Open Sans"/>
                <w:lang w:val="sr-Cyrl-RS"/>
              </w:rPr>
              <w:t>“</w:t>
            </w:r>
            <w:r w:rsidRPr="009F4070">
              <w:rPr>
                <w:rFonts w:cs="Open Sans"/>
                <w:lang w:val="sr-Latn-RS"/>
              </w:rPr>
              <w:t>Alternatives in Translating Certain Grammatical Structures from English into Serbian</w:t>
            </w:r>
            <w:r>
              <w:rPr>
                <w:rFonts w:cs="Open Sans"/>
                <w:lang w:val="sr-Cyrl-RS"/>
              </w:rPr>
              <w:t>“</w:t>
            </w:r>
            <w:r w:rsidRPr="009F4070">
              <w:rPr>
                <w:rFonts w:cs="Open Sans"/>
                <w:lang w:val="sr-Latn-RS"/>
              </w:rPr>
              <w:t>.</w:t>
            </w:r>
            <w:r w:rsidRPr="00EC0609">
              <w:rPr>
                <w:rFonts w:cs="Open Sans"/>
                <w:lang w:val="sr-Latn-RS"/>
              </w:rPr>
              <w:t xml:space="preserve"> </w:t>
            </w:r>
            <w:r>
              <w:rPr>
                <w:rFonts w:cs="Open Sans"/>
                <w:lang w:val="sr-Latn-RS"/>
              </w:rPr>
              <w:t>Philologia Mediana, Vol. 16, No. 16, pp. 571-594</w:t>
            </w:r>
          </w:p>
          <w:p w14:paraId="082B3EAE" w14:textId="655CC40A" w:rsidR="00621C2A" w:rsidRPr="009F4070" w:rsidRDefault="009F4070" w:rsidP="009F4070">
            <w:pPr>
              <w:rPr>
                <w:rFonts w:eastAsia="MinionPro-Regular" w:cs="MinionPro-Regular"/>
                <w:color w:val="313131"/>
                <w:lang w:val="sr-Cyrl-RS"/>
              </w:rPr>
            </w:pPr>
            <w:hyperlink r:id="rId9" w:history="1">
              <w:r w:rsidRPr="0045227E">
                <w:rPr>
                  <w:rStyle w:val="Hyperlink"/>
                  <w:rFonts w:eastAsia="MinionPro-Regular" w:cs="MinionPro-Regular"/>
                  <w:lang w:val="en-GB"/>
                </w:rPr>
                <w:t>https://orcid.org/0000-0002-3593-9232</w:t>
              </w:r>
            </w:hyperlink>
          </w:p>
        </w:tc>
      </w:tr>
      <w:tr w:rsidR="00621C2A" w:rsidRPr="00491993" w14:paraId="77109309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502766F5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shd w:val="clear" w:color="auto" w:fill="auto"/>
            <w:vAlign w:val="center"/>
          </w:tcPr>
          <w:p w14:paraId="12A5A0A5" w14:textId="2CDD6A24" w:rsidR="00621C2A" w:rsidRPr="00491993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cs="Open Sans"/>
                <w:lang w:val="sr-Latn-RS"/>
              </w:rPr>
              <w:t xml:space="preserve">2024. Janković, Lj. </w:t>
            </w:r>
            <w:r>
              <w:rPr>
                <w:rFonts w:cs="Open Sans"/>
                <w:lang w:val="sr-Cyrl-RS"/>
              </w:rPr>
              <w:t>“</w:t>
            </w:r>
            <w:r w:rsidRPr="009F4070">
              <w:rPr>
                <w:rFonts w:cs="Open Sans"/>
                <w:lang w:val="sr-Latn-RS"/>
              </w:rPr>
              <w:t>Translating Literary Texts from English into Serbian: Contrastive Approach</w:t>
            </w:r>
            <w:r>
              <w:rPr>
                <w:rFonts w:cs="Open Sans"/>
                <w:lang w:val="sr-Cyrl-RS"/>
              </w:rPr>
              <w:t>“</w:t>
            </w:r>
            <w:r>
              <w:rPr>
                <w:rFonts w:cs="Open Sans"/>
                <w:i/>
                <w:iCs/>
                <w:lang w:val="sr-Latn-RS"/>
              </w:rPr>
              <w:t xml:space="preserve">. </w:t>
            </w:r>
            <w:r>
              <w:rPr>
                <w:rFonts w:cs="Open Sans"/>
                <w:lang w:val="sr-Latn-RS"/>
              </w:rPr>
              <w:t>Philologist, Banja Luka, br. 30, ISSN 1986-5864</w:t>
            </w:r>
          </w:p>
        </w:tc>
      </w:tr>
      <w:tr w:rsidR="00621C2A" w:rsidRPr="00491993" w14:paraId="228AF5C5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51E5A9D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shd w:val="clear" w:color="auto" w:fill="auto"/>
            <w:vAlign w:val="center"/>
          </w:tcPr>
          <w:p w14:paraId="636F8BEF" w14:textId="7A6BA466" w:rsidR="009F4070" w:rsidRDefault="009F4070" w:rsidP="009F4070">
            <w:pPr>
              <w:rPr>
                <w:rFonts w:cs="Open Sans"/>
                <w:lang w:val="sr-Latn-RS"/>
              </w:rPr>
            </w:pPr>
            <w:r>
              <w:rPr>
                <w:rFonts w:cs="Open Sans"/>
                <w:lang w:val="sr-Latn-RS"/>
              </w:rPr>
              <w:t xml:space="preserve">2021. Janković, Lj. Marta Veličković, Aleksandar Pejčić. </w:t>
            </w:r>
            <w:r>
              <w:rPr>
                <w:rFonts w:cs="Open Sans"/>
                <w:lang w:val="sr-Cyrl-RS"/>
              </w:rPr>
              <w:t>“</w:t>
            </w:r>
            <w:r w:rsidRPr="009F4070">
              <w:rPr>
                <w:rFonts w:cs="Open Sans"/>
                <w:lang w:val="sr-Latn-RS"/>
              </w:rPr>
              <w:t>Developing Language Competencies through Core Language Courses at the English Department: the First Half Century</w:t>
            </w:r>
            <w:r>
              <w:rPr>
                <w:rFonts w:cs="Open Sans"/>
                <w:lang w:val="sr-Cyrl-RS"/>
              </w:rPr>
              <w:t>“</w:t>
            </w:r>
            <w:r>
              <w:rPr>
                <w:rFonts w:cs="Open Sans"/>
                <w:i/>
                <w:iCs/>
                <w:lang w:val="sr-Latn-RS"/>
              </w:rPr>
              <w:t xml:space="preserve">. </w:t>
            </w:r>
            <w:r>
              <w:rPr>
                <w:rFonts w:cs="Open Sans"/>
                <w:lang w:val="sr-Latn-RS"/>
              </w:rPr>
              <w:t>Facta Universitatis, Series: Linguistics and Literature, Vol. 19, No. 1, pp. 63-72</w:t>
            </w:r>
          </w:p>
          <w:p w14:paraId="495829AA" w14:textId="77777777" w:rsidR="009F4070" w:rsidRDefault="009F4070" w:rsidP="009F4070">
            <w:pPr>
              <w:rPr>
                <w:rFonts w:cs="Open Sans"/>
                <w:lang w:val="sr-Latn-RS"/>
              </w:rPr>
            </w:pPr>
          </w:p>
          <w:p w14:paraId="6AA5C559" w14:textId="77FB82EA" w:rsidR="009F4070" w:rsidRPr="009F4070" w:rsidRDefault="009F4070" w:rsidP="009F4070">
            <w:pPr>
              <w:rPr>
                <w:color w:val="111111"/>
                <w:lang w:val="sr-Cyrl-RS"/>
              </w:rPr>
            </w:pPr>
            <w:hyperlink r:id="rId10" w:history="1">
              <w:r w:rsidRPr="0045227E">
                <w:rPr>
                  <w:rStyle w:val="Hyperlink"/>
                </w:rPr>
                <w:t>https://doi.org/10.22190/FULL210801009J</w:t>
              </w:r>
            </w:hyperlink>
          </w:p>
          <w:p w14:paraId="72B19AC2" w14:textId="279C2904" w:rsidR="00621C2A" w:rsidRPr="009F4070" w:rsidRDefault="009F4070" w:rsidP="009F4070">
            <w:pPr>
              <w:rPr>
                <w:rFonts w:cs="Open Sans"/>
                <w:lang w:val="sr-Cyrl-RS"/>
              </w:rPr>
            </w:pPr>
            <w:hyperlink r:id="rId11" w:history="1">
              <w:r w:rsidRPr="0013615B">
                <w:rPr>
                  <w:rStyle w:val="Hyperlink"/>
                  <w:rFonts w:cs="Open Sans"/>
                  <w:lang w:val="sr-Latn-RS"/>
                </w:rPr>
                <w:t>https://casopisi.junis.ni.ac.rs/index.php/FULingLit/article/view/8083</w:t>
              </w:r>
            </w:hyperlink>
          </w:p>
        </w:tc>
      </w:tr>
      <w:tr w:rsidR="00EB0086" w:rsidRPr="00491993" w14:paraId="7A371BE8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73B2471F" w14:textId="77777777" w:rsidR="00EB0086" w:rsidRPr="00491993" w:rsidRDefault="00EB0086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shd w:val="clear" w:color="auto" w:fill="auto"/>
            <w:vAlign w:val="center"/>
          </w:tcPr>
          <w:p w14:paraId="195F5B1D" w14:textId="250C8F32" w:rsidR="00EB0086" w:rsidRPr="00EB0086" w:rsidRDefault="00EB0086" w:rsidP="009F4070">
            <w:pPr>
              <w:rPr>
                <w:lang w:val="sr-Latn-RS"/>
              </w:rPr>
            </w:pPr>
            <w:r w:rsidRPr="00EB0086">
              <w:rPr>
                <w:color w:val="333333"/>
                <w:shd w:val="clear" w:color="auto" w:fill="F6F5F1"/>
              </w:rPr>
              <w:t>2023</w:t>
            </w:r>
            <w:r w:rsidRPr="00EB0086">
              <w:rPr>
                <w:i/>
                <w:iCs/>
                <w:color w:val="333333"/>
                <w:shd w:val="clear" w:color="auto" w:fill="F6F5F1"/>
              </w:rPr>
              <w:t>. Living Translators' Society. </w:t>
            </w:r>
            <w:r w:rsidRPr="00EB0086">
              <w:rPr>
                <w:color w:val="333333"/>
                <w:shd w:val="clear" w:color="auto" w:fill="F6F5F1"/>
              </w:rPr>
              <w:t>Filozofski fakultet, Niš. </w:t>
            </w:r>
            <w:hyperlink r:id="rId12" w:history="1">
              <w:r w:rsidRPr="00EB0086">
                <w:rPr>
                  <w:color w:val="77051C"/>
                  <w:u w:val="single"/>
                  <w:shd w:val="clear" w:color="auto" w:fill="F6F5F1"/>
                </w:rPr>
                <w:t>https://doi.org/10.46630/lts.2021</w:t>
              </w:r>
            </w:hyperlink>
          </w:p>
        </w:tc>
      </w:tr>
      <w:tr w:rsidR="00621C2A" w:rsidRPr="00491993" w14:paraId="11A3EAA7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4803529E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shd w:val="clear" w:color="auto" w:fill="auto"/>
            <w:vAlign w:val="center"/>
          </w:tcPr>
          <w:p w14:paraId="79431ABC" w14:textId="77777777" w:rsidR="009F4070" w:rsidRPr="009F4070" w:rsidRDefault="009F4070" w:rsidP="009F4070">
            <w:pPr>
              <w:widowControl/>
              <w:shd w:val="clear" w:color="auto" w:fill="F6F5F1"/>
              <w:autoSpaceDE/>
              <w:autoSpaceDN/>
              <w:adjustRightInd/>
              <w:spacing w:after="135"/>
              <w:rPr>
                <w:color w:val="333333"/>
                <w:lang w:val="en-US" w:eastAsia="en-US"/>
              </w:rPr>
            </w:pPr>
            <w:r w:rsidRPr="009F4070">
              <w:rPr>
                <w:color w:val="333333"/>
                <w:lang w:val="en-US" w:eastAsia="en-US"/>
              </w:rPr>
              <w:t>2019. “Beneficial Effects of Music on EFL Learning”. </w:t>
            </w:r>
            <w:r w:rsidRPr="009F4070">
              <w:rPr>
                <w:i/>
                <w:iCs/>
                <w:color w:val="333333"/>
                <w:lang w:val="en-US" w:eastAsia="en-US"/>
              </w:rPr>
              <w:t>Facta Universitatis, Series: Visual Arts and Music, </w:t>
            </w:r>
            <w:r w:rsidRPr="009F4070">
              <w:rPr>
                <w:color w:val="333333"/>
                <w:lang w:val="en-US" w:eastAsia="en-US"/>
              </w:rPr>
              <w:t>Vol. 5, No 2, 2019, pp. 105-122. University of Niš, ISSN 2466-2887 (Print), ISSN 2466-2895 (Online), UDC [811.111:81-13]:78, </w:t>
            </w:r>
            <w:r w:rsidRPr="009F4070">
              <w:rPr>
                <w:i/>
                <w:iCs/>
                <w:color w:val="333333"/>
                <w:lang w:val="en-US" w:eastAsia="en-US"/>
              </w:rPr>
              <w:t>DOI Number </w:t>
            </w:r>
            <w:hyperlink r:id="rId13" w:history="1">
              <w:r w:rsidRPr="009F4070">
                <w:rPr>
                  <w:color w:val="77051C"/>
                  <w:lang w:val="en-US" w:eastAsia="en-US"/>
                </w:rPr>
                <w:t>https://doi.org/10.22190/FUVAM1902105J</w:t>
              </w:r>
            </w:hyperlink>
          </w:p>
          <w:p w14:paraId="42855F40" w14:textId="1E659450" w:rsidR="00621C2A" w:rsidRPr="00491993" w:rsidRDefault="009F4070" w:rsidP="009F407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hyperlink r:id="rId14" w:history="1">
              <w:r w:rsidRPr="009F4070">
                <w:rPr>
                  <w:color w:val="77051C"/>
                  <w:lang w:val="en-US" w:eastAsia="en-US"/>
                </w:rPr>
                <w:t>http://casopisi.junis.ni.ac.rs/index.php/FUVisArtMus/article/view/5853/3386</w:t>
              </w:r>
            </w:hyperlink>
          </w:p>
        </w:tc>
      </w:tr>
      <w:tr w:rsidR="00621C2A" w:rsidRPr="00491993" w14:paraId="68787E80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586DB852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shd w:val="clear" w:color="auto" w:fill="auto"/>
            <w:vAlign w:val="center"/>
          </w:tcPr>
          <w:p w14:paraId="65EB11F7" w14:textId="752D118E" w:rsidR="009F4070" w:rsidRPr="009F4070" w:rsidRDefault="009F4070" w:rsidP="009F4070">
            <w:pPr>
              <w:widowControl/>
              <w:shd w:val="clear" w:color="auto" w:fill="F6F5F1"/>
              <w:autoSpaceDE/>
              <w:autoSpaceDN/>
              <w:adjustRightInd/>
              <w:spacing w:after="135"/>
              <w:rPr>
                <w:color w:val="333333"/>
                <w:lang w:val="en-US" w:eastAsia="en-US"/>
              </w:rPr>
            </w:pPr>
            <w:r w:rsidRPr="009F4070">
              <w:rPr>
                <w:color w:val="333333"/>
                <w:lang w:val="en-US" w:eastAsia="en-US"/>
              </w:rPr>
              <w:t>2019. “Theoretical Differences in the Use of English and Serbian Nonfinite Relative</w:t>
            </w:r>
            <w:r w:rsidRPr="00F85EE8">
              <w:rPr>
                <w:rFonts w:ascii="Helvetica Neue" w:hAnsi="Helvetica Neue"/>
                <w:color w:val="333333"/>
                <w:lang w:val="en-US" w:eastAsia="en-US"/>
              </w:rPr>
              <w:t xml:space="preserve"> </w:t>
            </w:r>
            <w:r w:rsidRPr="009F4070">
              <w:rPr>
                <w:color w:val="333333"/>
                <w:lang w:val="en-US" w:eastAsia="en-US"/>
              </w:rPr>
              <w:t>Clauses”. </w:t>
            </w:r>
            <w:r w:rsidRPr="009F4070">
              <w:rPr>
                <w:i/>
                <w:iCs/>
                <w:color w:val="333333"/>
                <w:lang w:val="en-US" w:eastAsia="en-US"/>
              </w:rPr>
              <w:t>Philologia Mediana, </w:t>
            </w:r>
            <w:r w:rsidRPr="009F4070">
              <w:rPr>
                <w:color w:val="333333"/>
                <w:lang w:val="en-US" w:eastAsia="en-US"/>
              </w:rPr>
              <w:t>No 11, главни уредник Јелена Јовановић, Универзитет у Нишу, Филозофски факултет, Ниш, 2019, pp. 251-265 ISSN 1821-3332 (Print), ISSN 2620-2794 (Online), COBISS.SR-ID 171242508  UDC 811.111’367:811.163.41’367</w:t>
            </w:r>
          </w:p>
          <w:p w14:paraId="04450FB6" w14:textId="061D173C" w:rsidR="00621C2A" w:rsidRPr="00491993" w:rsidRDefault="009F4070" w:rsidP="009F407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hyperlink r:id="rId15" w:history="1">
              <w:r w:rsidRPr="009F4070">
                <w:rPr>
                  <w:color w:val="77051C"/>
                  <w:lang w:val="en-US" w:eastAsia="en-US"/>
                </w:rPr>
                <w:t>https://izdanja.filfak.ni.ac.rs/casopisi/2019/download/2632_a6c9f0952778e35996a48d0791cd4d85</w:t>
              </w:r>
            </w:hyperlink>
          </w:p>
        </w:tc>
      </w:tr>
      <w:tr w:rsidR="00621C2A" w:rsidRPr="00491993" w14:paraId="2AE4FB08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7199D5FB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shd w:val="clear" w:color="auto" w:fill="auto"/>
            <w:vAlign w:val="center"/>
          </w:tcPr>
          <w:p w14:paraId="511D557C" w14:textId="77777777" w:rsidR="009F4070" w:rsidRPr="009F4070" w:rsidRDefault="009F4070" w:rsidP="009F4070">
            <w:pPr>
              <w:widowControl/>
              <w:shd w:val="clear" w:color="auto" w:fill="F6F5F1"/>
              <w:autoSpaceDE/>
              <w:autoSpaceDN/>
              <w:adjustRightInd/>
              <w:spacing w:after="135"/>
              <w:rPr>
                <w:color w:val="333333"/>
                <w:lang w:val="en-US" w:eastAsia="en-US"/>
              </w:rPr>
            </w:pPr>
            <w:r w:rsidRPr="009F4070">
              <w:rPr>
                <w:color w:val="333333"/>
                <w:lang w:val="en-US" w:eastAsia="en-US"/>
              </w:rPr>
              <w:t>2018. “English and Serbian Nominal Finite and Nonfinite Clauses in Contrast”. </w:t>
            </w:r>
            <w:r w:rsidRPr="009F4070">
              <w:rPr>
                <w:i/>
                <w:iCs/>
                <w:color w:val="333333"/>
                <w:lang w:val="en-US" w:eastAsia="en-US"/>
              </w:rPr>
              <w:t>Facta Universitatis, Series: Linguistics and Literature, </w:t>
            </w:r>
            <w:r w:rsidRPr="009F4070">
              <w:rPr>
                <w:color w:val="333333"/>
                <w:lang w:val="en-US" w:eastAsia="en-US"/>
              </w:rPr>
              <w:t>Vol. 16, No 2, 2018, pp. 85-105. University of Niš, ISSN 0354 – 4702 (Print), ISSN 2406 – 0518 (Online), COBISS.SR-ID 98733575, UDC 811.111’367.3:811.163.41’367.3  811.111’243-057.87(497.11) </w:t>
            </w:r>
            <w:r w:rsidRPr="009F4070">
              <w:rPr>
                <w:i/>
                <w:iCs/>
                <w:color w:val="333333"/>
                <w:lang w:val="en-US" w:eastAsia="en-US"/>
              </w:rPr>
              <w:t>DOI Number </w:t>
            </w:r>
            <w:hyperlink r:id="rId16" w:history="1">
              <w:r w:rsidRPr="009F4070">
                <w:rPr>
                  <w:color w:val="77051C"/>
                  <w:lang w:val="en-US" w:eastAsia="en-US"/>
                </w:rPr>
                <w:t>https://doi.org/10.22190/FULL1802085J</w:t>
              </w:r>
            </w:hyperlink>
          </w:p>
          <w:p w14:paraId="35B2E416" w14:textId="6D654E3C" w:rsidR="00621C2A" w:rsidRPr="00491993" w:rsidRDefault="009F4070" w:rsidP="009F407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hyperlink r:id="rId17" w:history="1">
              <w:r w:rsidRPr="009F4070">
                <w:rPr>
                  <w:color w:val="77051C"/>
                  <w:lang w:val="en-US" w:eastAsia="en-US"/>
                </w:rPr>
                <w:t>http://casopisi.junis.ni.ac.rs/index.php/FULingLit/article/view/3413/2651</w:t>
              </w:r>
            </w:hyperlink>
          </w:p>
        </w:tc>
      </w:tr>
      <w:tr w:rsidR="00621C2A" w:rsidRPr="00491993" w14:paraId="2B288802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2D7F2FFC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shd w:val="clear" w:color="auto" w:fill="auto"/>
            <w:vAlign w:val="center"/>
          </w:tcPr>
          <w:p w14:paraId="0360945E" w14:textId="45762120" w:rsidR="00621C2A" w:rsidRPr="009F4070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F4070">
              <w:rPr>
                <w:color w:val="333333"/>
                <w:shd w:val="clear" w:color="auto" w:fill="F6F5F1"/>
              </w:rPr>
              <w:t>2014. ”Маргинализација одређених структура српског језика при превођењу са енглеског на српски код студената англистике”. </w:t>
            </w:r>
            <w:r w:rsidRPr="009F4070">
              <w:rPr>
                <w:i/>
                <w:iCs/>
                <w:color w:val="333333"/>
                <w:shd w:val="clear" w:color="auto" w:fill="F6F5F1"/>
              </w:rPr>
              <w:t>Језик, књижевност, маргинализација – језичка истраживања, </w:t>
            </w:r>
            <w:r w:rsidRPr="009F4070">
              <w:rPr>
                <w:color w:val="333333"/>
                <w:shd w:val="clear" w:color="auto" w:fill="F6F5F1"/>
              </w:rPr>
              <w:t>Зборник радова, уреднице: Биљана Мишић Илић, Весна Лопичић, Универзитет у Нишу, Филозофски факултет, Ниш, 2014, стр. 583-591, UDK 811.111’243:811.163.41, ISBN 978-86-7379-323-8, COBISS.SR-ID 206863628 </w:t>
            </w:r>
            <w:hyperlink r:id="rId18" w:history="1">
              <w:r w:rsidRPr="009F4070">
                <w:rPr>
                  <w:color w:val="77051C"/>
                  <w:shd w:val="clear" w:color="auto" w:fill="F6F5F1"/>
                </w:rPr>
                <w:t>https://izdanja.filfak.ni.ac.rs/zbornici/2014/jezik-knjizevnost-marginalizacija-zbornik-radova-jezicka-istrazivanja</w:t>
              </w:r>
            </w:hyperlink>
          </w:p>
        </w:tc>
      </w:tr>
      <w:tr w:rsidR="00621C2A" w:rsidRPr="00491993" w14:paraId="20218085" w14:textId="77777777" w:rsidTr="00EB0086">
        <w:trPr>
          <w:trHeight w:val="427"/>
        </w:trPr>
        <w:tc>
          <w:tcPr>
            <w:tcW w:w="1633" w:type="dxa"/>
            <w:gridSpan w:val="2"/>
            <w:vAlign w:val="center"/>
          </w:tcPr>
          <w:p w14:paraId="4CF66E7F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3" w:type="dxa"/>
            <w:gridSpan w:val="13"/>
            <w:shd w:val="clear" w:color="auto" w:fill="auto"/>
            <w:vAlign w:val="center"/>
          </w:tcPr>
          <w:p w14:paraId="24F9D9B3" w14:textId="3F1555B9" w:rsidR="00621C2A" w:rsidRPr="009F4070" w:rsidRDefault="009F407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F4070">
              <w:rPr>
                <w:color w:val="333333"/>
                <w:shd w:val="clear" w:color="auto" w:fill="F6F5F1"/>
              </w:rPr>
              <w:t>2012. "Pop Culture in EFL Teaching: Enhancing Classroom Communicaton", </w:t>
            </w:r>
            <w:r w:rsidRPr="009F4070">
              <w:rPr>
                <w:i/>
                <w:iCs/>
                <w:color w:val="333333"/>
                <w:shd w:val="clear" w:color="auto" w:fill="F6F5F1"/>
              </w:rPr>
              <w:t>Језик, књижевност, комуникација – језичка истраживања, </w:t>
            </w:r>
            <w:r w:rsidRPr="009F4070">
              <w:rPr>
                <w:color w:val="333333"/>
                <w:shd w:val="clear" w:color="auto" w:fill="F6F5F1"/>
              </w:rPr>
              <w:t>Зборник радова, уреднице Биљана Мишић Илић, Весна Лопичић, Универзитет у Нишу, Филозофски факултет, Ниш, 2012, стр. 535-544, UDC 811.111’243:316.7 811.111:37, ISBN 978-86-7379-241-5, COBISS.SR-ID 190409740</w:t>
            </w:r>
            <w:hyperlink r:id="rId19" w:history="1">
              <w:r w:rsidRPr="009F4070">
                <w:rPr>
                  <w:color w:val="77051C"/>
                  <w:shd w:val="clear" w:color="auto" w:fill="F6F5F1"/>
                </w:rPr>
                <w:t>https://izdanja.filfak.ni.ac.rs/zbornici/2012/jezik-knjizevnost-komunikacija-zbornik-radova-jezicka-istrazivanja</w:t>
              </w:r>
            </w:hyperlink>
          </w:p>
        </w:tc>
      </w:tr>
      <w:tr w:rsidR="00621C2A" w:rsidRPr="00491993" w14:paraId="43738336" w14:textId="77777777" w:rsidTr="00EB0086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21C2A" w:rsidRPr="00491993" w14:paraId="3A5698AE" w14:textId="77777777" w:rsidTr="00EB0086">
        <w:trPr>
          <w:trHeight w:val="427"/>
        </w:trPr>
        <w:tc>
          <w:tcPr>
            <w:tcW w:w="4635" w:type="dxa"/>
            <w:gridSpan w:val="7"/>
            <w:vAlign w:val="center"/>
          </w:tcPr>
          <w:p w14:paraId="417D942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61" w:type="dxa"/>
            <w:gridSpan w:val="8"/>
            <w:vAlign w:val="center"/>
          </w:tcPr>
          <w:p w14:paraId="09A92E01" w14:textId="6C7206D5" w:rsidR="00621C2A" w:rsidRPr="00491993" w:rsidRDefault="0019450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 w:rsidR="00621C2A" w:rsidRPr="00491993" w14:paraId="419FFABA" w14:textId="77777777" w:rsidTr="00EB0086">
        <w:trPr>
          <w:trHeight w:val="427"/>
        </w:trPr>
        <w:tc>
          <w:tcPr>
            <w:tcW w:w="4635" w:type="dxa"/>
            <w:gridSpan w:val="7"/>
            <w:vAlign w:val="center"/>
          </w:tcPr>
          <w:p w14:paraId="272C2D8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61" w:type="dxa"/>
            <w:gridSpan w:val="8"/>
            <w:vAlign w:val="center"/>
          </w:tcPr>
          <w:p w14:paraId="64DB06C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4D2707F8" w14:textId="77777777" w:rsidTr="00EB0086">
        <w:trPr>
          <w:trHeight w:val="278"/>
        </w:trPr>
        <w:tc>
          <w:tcPr>
            <w:tcW w:w="4635" w:type="dxa"/>
            <w:gridSpan w:val="7"/>
            <w:vAlign w:val="center"/>
          </w:tcPr>
          <w:p w14:paraId="316283C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11" w:type="dxa"/>
            <w:gridSpan w:val="4"/>
            <w:vAlign w:val="center"/>
          </w:tcPr>
          <w:p w14:paraId="2380AFA6" w14:textId="02DD85D5" w:rsidR="00621C2A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  <w:r w:rsidR="00194506">
              <w:rPr>
                <w:lang w:val="sr-Cyrl-CS"/>
              </w:rPr>
              <w:t>:</w:t>
            </w:r>
          </w:p>
          <w:p w14:paraId="2B65DA02" w14:textId="5159F374" w:rsidR="00194506" w:rsidRPr="00194506" w:rsidRDefault="00194506" w:rsidP="00621C2A">
            <w:pPr>
              <w:tabs>
                <w:tab w:val="left" w:pos="567"/>
              </w:tabs>
              <w:spacing w:before="20" w:after="20"/>
              <w:rPr>
                <w:i/>
                <w:iCs/>
                <w:lang w:val="sr-Cyrl-CS"/>
              </w:rPr>
            </w:pPr>
            <w:r w:rsidRPr="00194506">
              <w:rPr>
                <w:i/>
                <w:iCs/>
                <w:lang w:val="sr-Cyrl-CS"/>
              </w:rPr>
              <w:t xml:space="preserve">Научна сазнања у областима Англистичке лингвистике и Англо-америчке књижевности и културе </w:t>
            </w:r>
          </w:p>
        </w:tc>
        <w:tc>
          <w:tcPr>
            <w:tcW w:w="4150" w:type="dxa"/>
            <w:gridSpan w:val="4"/>
            <w:vAlign w:val="center"/>
          </w:tcPr>
          <w:p w14:paraId="7D69567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621C2A" w:rsidRPr="00491993" w14:paraId="7B8D39AC" w14:textId="77777777" w:rsidTr="00EB0086">
        <w:trPr>
          <w:trHeight w:val="427"/>
        </w:trPr>
        <w:tc>
          <w:tcPr>
            <w:tcW w:w="2441" w:type="dxa"/>
            <w:gridSpan w:val="4"/>
            <w:vAlign w:val="center"/>
          </w:tcPr>
          <w:p w14:paraId="6D698EE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355" w:type="dxa"/>
            <w:gridSpan w:val="11"/>
            <w:vAlign w:val="center"/>
          </w:tcPr>
          <w:p w14:paraId="059D3880" w14:textId="5E1E56D6" w:rsidR="00621C2A" w:rsidRPr="00194506" w:rsidRDefault="00194506" w:rsidP="00194506">
            <w:pPr>
              <w:rPr>
                <w:sz w:val="16"/>
                <w:szCs w:val="16"/>
                <w:lang w:val="sr-Cyrl-CS"/>
              </w:rPr>
            </w:pPr>
            <w:r w:rsidRPr="00194506">
              <w:rPr>
                <w:lang w:val="hr-HR"/>
              </w:rPr>
              <w:t>С</w:t>
            </w:r>
            <w:r w:rsidRPr="00194506">
              <w:rPr>
                <w:lang w:val="sr-Cyrl-CS"/>
              </w:rPr>
              <w:t>типендија америчке владе и Фулбрајт фондације, Институт за савремену америчку књижевност (Institute of Contemporary American Literature) у организацији Комонвелт центра за хуманистичке и друштвене науке (The Commonwealth Center for the Humanities and Society), Универзитет у Луивилу, Кентаки, САД (University of Louisville, Louisville, Kentucky, USA). 26. јуни – 8. август, 20</w:t>
            </w:r>
            <w:r w:rsidRPr="00194506">
              <w:rPr>
                <w:lang w:val="hr-HR"/>
              </w:rPr>
              <w:t>06</w:t>
            </w:r>
            <w:r w:rsidRPr="0045018B">
              <w:rPr>
                <w:sz w:val="16"/>
                <w:szCs w:val="16"/>
                <w:lang w:val="hr-HR"/>
              </w:rPr>
              <w:t>.</w:t>
            </w:r>
          </w:p>
        </w:tc>
      </w:tr>
      <w:tr w:rsidR="00621C2A" w:rsidRPr="00491993" w14:paraId="05F0FCC1" w14:textId="77777777" w:rsidTr="00EB0086">
        <w:trPr>
          <w:trHeight w:val="427"/>
        </w:trPr>
        <w:tc>
          <w:tcPr>
            <w:tcW w:w="10796" w:type="dxa"/>
            <w:gridSpan w:val="15"/>
            <w:vAlign w:val="center"/>
          </w:tcPr>
          <w:p w14:paraId="1E491DA5" w14:textId="77777777" w:rsidR="00621C2A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  <w:p w14:paraId="7602F43E" w14:textId="77777777" w:rsidR="00194506" w:rsidRPr="00194506" w:rsidRDefault="00194506" w:rsidP="00194506">
            <w:pPr>
              <w:rPr>
                <w:lang w:val="sr-Cyrl-RS"/>
              </w:rPr>
            </w:pPr>
            <w:r w:rsidRPr="00194506">
              <w:rPr>
                <w:lang w:val="sr-Cyrl-CS"/>
              </w:rPr>
              <w:t xml:space="preserve">Превод књиге </w:t>
            </w:r>
            <w:r w:rsidRPr="00194506">
              <w:rPr>
                <w:i/>
                <w:lang w:val="sr-Cyrl-CS"/>
              </w:rPr>
              <w:t>Вештине и знања социјалног рада</w:t>
            </w:r>
            <w:r w:rsidRPr="00194506">
              <w:rPr>
                <w:lang w:val="sr-Cyrl-CS"/>
              </w:rPr>
              <w:t xml:space="preserve"> (</w:t>
            </w:r>
            <w:r w:rsidRPr="00194506">
              <w:rPr>
                <w:i/>
                <w:lang w:val="sr-Cyrl-CS"/>
              </w:rPr>
              <w:t>Social Work Skills and Knowledge</w:t>
            </w:r>
            <w:r w:rsidRPr="00194506">
              <w:rPr>
                <w:lang w:val="sr-Cyrl-CS"/>
              </w:rPr>
              <w:t xml:space="preserve">), аутора Памеле Тревитик (Pamela Trevithick). Публикација је реализована у оквиру пројекта </w:t>
            </w:r>
            <w:r w:rsidRPr="00194506">
              <w:rPr>
                <w:lang w:val="hr-HR"/>
              </w:rPr>
              <w:t>”</w:t>
            </w:r>
            <w:r w:rsidRPr="00194506">
              <w:rPr>
                <w:lang w:val="sr-Cyrl-CS"/>
              </w:rPr>
              <w:t>Strengthening Higher Education for Social Policy Making and Social Services Delivery</w:t>
            </w:r>
            <w:r w:rsidRPr="00194506">
              <w:rPr>
                <w:lang w:val="hr-HR"/>
              </w:rPr>
              <w:t>”.</w:t>
            </w:r>
          </w:p>
          <w:p w14:paraId="6A60DC4B" w14:textId="77777777" w:rsidR="00194506" w:rsidRPr="00194506" w:rsidRDefault="00194506" w:rsidP="00194506">
            <w:pPr>
              <w:spacing w:after="120"/>
              <w:jc w:val="both"/>
              <w:rPr>
                <w:color w:val="000000"/>
                <w:lang w:val="sr-Cyrl-RS"/>
              </w:rPr>
            </w:pPr>
            <w:r w:rsidRPr="00194506">
              <w:rPr>
                <w:color w:val="000000"/>
                <w:lang w:val="sr-Latn-RS"/>
              </w:rPr>
              <w:t xml:space="preserve">Mišić Ilić, B. i M. Lazarević, ur. </w:t>
            </w:r>
            <w:r w:rsidRPr="00194506">
              <w:rPr>
                <w:color w:val="000000"/>
                <w:lang w:val="sr-Cyrl-RS"/>
              </w:rPr>
              <w:t>(</w:t>
            </w:r>
            <w:r w:rsidRPr="00194506">
              <w:rPr>
                <w:color w:val="000000"/>
                <w:lang w:val="sr-Latn-RS"/>
              </w:rPr>
              <w:t>2016</w:t>
            </w:r>
            <w:r w:rsidRPr="00194506">
              <w:rPr>
                <w:color w:val="000000"/>
                <w:lang w:val="sr-Cyrl-RS"/>
              </w:rPr>
              <w:t>)</w:t>
            </w:r>
            <w:r w:rsidRPr="00194506">
              <w:rPr>
                <w:color w:val="000000"/>
                <w:lang w:val="sr-Latn-RS"/>
              </w:rPr>
              <w:t xml:space="preserve">. </w:t>
            </w:r>
            <w:r w:rsidRPr="00194506">
              <w:rPr>
                <w:i/>
                <w:color w:val="000000"/>
                <w:lang w:val="sr-Latn-RS"/>
              </w:rPr>
              <w:t>Towards Internationalization: Fostering University Support Services and Procedures for Full Participation in the European Higher Education Area / Internacionalizacija i kako do nje: jačanje univerzitetskih služb i procedura za potpunije učešće srpskih visokoškolsih institucija u evropskom prostoru visokog obrazovanja – projekat FUSE</w:t>
            </w:r>
            <w:r w:rsidRPr="00194506">
              <w:rPr>
                <w:color w:val="000000"/>
                <w:lang w:val="sr-Latn-RS"/>
              </w:rPr>
              <w:t>. Univerzitet u Nišu i Konzorcijum FUSE: Niš, str. 90 i 92. ISBN 987-86-7181-090-6. COBISS SR-ID 227424780. UDK 378.014.3(497.11):061.1EU</w:t>
            </w:r>
            <w:r w:rsidRPr="00194506">
              <w:rPr>
                <w:color w:val="000000"/>
                <w:lang w:val="sr-Cyrl-RS"/>
              </w:rPr>
              <w:t xml:space="preserve">  (превод дела књиге са енглеског на српски)</w:t>
            </w:r>
          </w:p>
          <w:p w14:paraId="73EA7E02" w14:textId="77777777" w:rsidR="00194506" w:rsidRPr="00491993" w:rsidRDefault="0019450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3F408FFA" w14:textId="77777777" w:rsidTr="00EB0086">
        <w:trPr>
          <w:trHeight w:val="427"/>
        </w:trPr>
        <w:tc>
          <w:tcPr>
            <w:tcW w:w="10796" w:type="dxa"/>
            <w:gridSpan w:val="15"/>
            <w:vAlign w:val="center"/>
          </w:tcPr>
          <w:p w14:paraId="091D2C7E" w14:textId="77777777" w:rsidR="00621C2A" w:rsidRPr="00491993" w:rsidRDefault="00621C2A" w:rsidP="00AF34B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lastRenderedPageBreak/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 w:rsidR="00E03FE6"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20"/>
      <w:footerReference w:type="default" r:id="rId21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66AB" w14:textId="77777777" w:rsidR="00AA4A62" w:rsidRDefault="00AA4A62">
      <w:r>
        <w:separator/>
      </w:r>
    </w:p>
  </w:endnote>
  <w:endnote w:type="continuationSeparator" w:id="0">
    <w:p w14:paraId="1AE2C070" w14:textId="77777777" w:rsidR="00AA4A62" w:rsidRDefault="00AA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Yu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27F" w:usb1="0000000A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6A507" w14:textId="77777777" w:rsidR="00AA4A62" w:rsidRDefault="00AA4A62">
      <w:r>
        <w:separator/>
      </w:r>
    </w:p>
  </w:footnote>
  <w:footnote w:type="continuationSeparator" w:id="0">
    <w:p w14:paraId="62272F86" w14:textId="77777777" w:rsidR="00AA4A62" w:rsidRDefault="00AA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77777777" w:rsidR="004C7606" w:rsidRPr="00432268" w:rsidRDefault="00391375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 w:rsidRPr="00391375">
            <w:rPr>
              <w:b/>
              <w:color w:val="333399"/>
              <w:sz w:val="24"/>
              <w:szCs w:val="24"/>
              <w:highlight w:val="yellow"/>
              <w:lang w:val="sr-Cyrl-RS"/>
            </w:rPr>
            <w:t>Назив програма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866826">
    <w:abstractNumId w:val="5"/>
  </w:num>
  <w:num w:numId="2" w16cid:durableId="991180865">
    <w:abstractNumId w:val="0"/>
  </w:num>
  <w:num w:numId="3" w16cid:durableId="1973905443">
    <w:abstractNumId w:val="3"/>
  </w:num>
  <w:num w:numId="4" w16cid:durableId="1523738187">
    <w:abstractNumId w:val="4"/>
  </w:num>
  <w:num w:numId="5" w16cid:durableId="1755592531">
    <w:abstractNumId w:val="1"/>
  </w:num>
  <w:num w:numId="6" w16cid:durableId="329213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86546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4506"/>
    <w:rsid w:val="00197BF6"/>
    <w:rsid w:val="001A37DF"/>
    <w:rsid w:val="001A48ED"/>
    <w:rsid w:val="001C076A"/>
    <w:rsid w:val="001E1E7F"/>
    <w:rsid w:val="001F79D9"/>
    <w:rsid w:val="002677AF"/>
    <w:rsid w:val="002760F2"/>
    <w:rsid w:val="002E68DF"/>
    <w:rsid w:val="002E7AA4"/>
    <w:rsid w:val="003129E2"/>
    <w:rsid w:val="00320DCA"/>
    <w:rsid w:val="00337217"/>
    <w:rsid w:val="003374CA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14D9F"/>
    <w:rsid w:val="00416D10"/>
    <w:rsid w:val="00432268"/>
    <w:rsid w:val="0044642F"/>
    <w:rsid w:val="00450EFB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4F417A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0B24"/>
    <w:rsid w:val="00702729"/>
    <w:rsid w:val="0073018E"/>
    <w:rsid w:val="007A5293"/>
    <w:rsid w:val="007B114F"/>
    <w:rsid w:val="007B6E26"/>
    <w:rsid w:val="007C3C92"/>
    <w:rsid w:val="007D7F72"/>
    <w:rsid w:val="007E5100"/>
    <w:rsid w:val="007F1217"/>
    <w:rsid w:val="008232AD"/>
    <w:rsid w:val="00842B0E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9F4070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4A62"/>
    <w:rsid w:val="00AA700C"/>
    <w:rsid w:val="00AE4F7F"/>
    <w:rsid w:val="00AF34B3"/>
    <w:rsid w:val="00AF7B02"/>
    <w:rsid w:val="00B15C97"/>
    <w:rsid w:val="00B21027"/>
    <w:rsid w:val="00B2763C"/>
    <w:rsid w:val="00B376DC"/>
    <w:rsid w:val="00BC352B"/>
    <w:rsid w:val="00BC7963"/>
    <w:rsid w:val="00BF1068"/>
    <w:rsid w:val="00C06D74"/>
    <w:rsid w:val="00C129E1"/>
    <w:rsid w:val="00C17332"/>
    <w:rsid w:val="00C30837"/>
    <w:rsid w:val="00C53247"/>
    <w:rsid w:val="00C571EB"/>
    <w:rsid w:val="00C831E7"/>
    <w:rsid w:val="00C84C0A"/>
    <w:rsid w:val="00C858F1"/>
    <w:rsid w:val="00CA5A33"/>
    <w:rsid w:val="00CC3F45"/>
    <w:rsid w:val="00CC61D1"/>
    <w:rsid w:val="00CD231F"/>
    <w:rsid w:val="00CF673F"/>
    <w:rsid w:val="00CF7E2C"/>
    <w:rsid w:val="00D4438A"/>
    <w:rsid w:val="00D540CC"/>
    <w:rsid w:val="00D620CF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B0086"/>
    <w:rsid w:val="00EB3393"/>
    <w:rsid w:val="00EB6085"/>
    <w:rsid w:val="00ED6EBF"/>
    <w:rsid w:val="00EF7096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A46FB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character" w:styleId="Emphasis">
    <w:name w:val="Emphasis"/>
    <w:uiPriority w:val="20"/>
    <w:qFormat/>
    <w:rsid w:val="009F40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6630/kak.2024" TargetMode="External"/><Relationship Id="rId13" Type="http://schemas.openxmlformats.org/officeDocument/2006/relationships/hyperlink" Target="https://doi.org/10.22190/FUVAM1902105J" TargetMode="External"/><Relationship Id="rId18" Type="http://schemas.openxmlformats.org/officeDocument/2006/relationships/hyperlink" Target="https://izdanja.filfak.ni.ac.rs/zbornici/2014/jezik-knjizevnost-marginalizacija-zbornik-radova-jezicka-istrazivanja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izdanja.filfak.ni.ac.rs/monografije/2024/kontrastivna-analiza-klauza-u-srpskom-i-engleskom-jeziku" TargetMode="External"/><Relationship Id="rId12" Type="http://schemas.openxmlformats.org/officeDocument/2006/relationships/hyperlink" Target="https://doi.org/10.46630/lts.2021" TargetMode="External"/><Relationship Id="rId17" Type="http://schemas.openxmlformats.org/officeDocument/2006/relationships/hyperlink" Target="http://casopisi.junis.ni.ac.rs/index.php/FULingLit/article/view/3413/26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2190/FULL1802085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sopisi.junis.ni.ac.rs/index.php/FULingLit/article/view/80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zdanja.filfak.ni.ac.rs/casopisi/2019/download/2632_a6c9f0952778e35996a48d0791cd4d8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22190/FULL210801009J" TargetMode="External"/><Relationship Id="rId19" Type="http://schemas.openxmlformats.org/officeDocument/2006/relationships/hyperlink" Target="https://izdanja.filfak.ni.ac.rs/zbornici/2012/jezik-knjizevnost-komunikacija-zbornik-radova-jezicka-istrazivan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3593-9232" TargetMode="External"/><Relationship Id="rId14" Type="http://schemas.openxmlformats.org/officeDocument/2006/relationships/hyperlink" Target="http://casopisi.junis.ni.ac.rs/index.php/FUVisArtMus/article/view/5853/3386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Ljiljana Jankovic</cp:lastModifiedBy>
  <cp:revision>10</cp:revision>
  <cp:lastPrinted>2008-06-10T11:57:00Z</cp:lastPrinted>
  <dcterms:created xsi:type="dcterms:W3CDTF">2025-04-12T09:24:00Z</dcterms:created>
  <dcterms:modified xsi:type="dcterms:W3CDTF">2025-04-15T10:18:00Z</dcterms:modified>
</cp:coreProperties>
</file>